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55" w:lineRule="exact"/>
        <w:rPr>
          <w:sz w:val="24"/>
          <w:szCs w:val="24"/>
          <w:color w:val="auto"/>
        </w:rPr>
      </w:pPr>
    </w:p>
    <w:p>
      <w:pPr>
        <w:jc w:val="center"/>
        <w:ind w:righ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АКТ № 21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00" w:right="820" w:hanging="1632"/>
        <w:spacing w:after="0" w:line="233" w:lineRule="auto"/>
        <w:tabs>
          <w:tab w:leader="none" w:pos="51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ПРОВЕДЕНИИ НЕЗАВИСИМОЙ ОЦЕНКИ КАЧЕСТВА УСЛОВИЙ ОКАЗАНИЯ УСЛУГ ОРГАНИЗАЦИЕЙ СОЦИАЛЬНОГО ОБСЛУЖИВАНИЯ НАСЕЛЕНИЯ ХАНТЫ-МАНСИЙСКОГО АВТОНОМНОГО ОКРУГА – ЮГРЫ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Наименование организации: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«Сургутский центр социальной помощи семье и детям»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Юридический адрес: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628417,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Сургут;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Лермонтова,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д.9</w:t>
      </w:r>
    </w:p>
    <w:p>
      <w:pPr>
        <w:ind w:left="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Фактический адрес: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628417,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Сургут;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Лермонтова,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д.9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Ф.И.О. руководителя: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Баталина Вера Семеновна</w:t>
      </w:r>
    </w:p>
    <w:p>
      <w:pPr>
        <w:ind w:left="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Контактный телефон: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 (3462) 34-10-30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8255</wp:posOffset>
            </wp:positionV>
            <wp:extent cx="9960610" cy="42932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610" cy="429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ind w:lef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restart"/>
          </w:tcPr>
          <w:p>
            <w:pPr>
              <w:jc w:val="center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ind w:lef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38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79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restart"/>
          </w:tcPr>
          <w:p>
            <w:pPr>
              <w:jc w:val="center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ind w:left="4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59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ind w:lef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 баллах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060" w:type="dxa"/>
            <w:vAlign w:val="bottom"/>
          </w:tcPr>
          <w:p>
            <w:pPr>
              <w:jc w:val="center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940" w:type="dxa"/>
            <w:vAlign w:val="bottom"/>
            <w:gridSpan w:val="3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Критерий «Открытость и доступность информации об организации»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Соответствие информации о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 организации социального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обслуживания, размещенной на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1.1.1. Соответствие информации о</w:t>
            </w: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отсутствует информация о деятельности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общедоступных информационных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 баллов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 организации</w:t>
            </w: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ресурсах, перечню информации и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социального обслуживания,</w:t>
            </w: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требованиям к ней, установленным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размещенной на информационных</w:t>
            </w: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нормативными правовыми актами: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стендах в помещении организации</w:t>
            </w: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информация соответствует требованиям к ней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перечню информации и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(доля количества размещенных материалов в %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требованиям к ней, установленным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 информационных стендах в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количества материалов, размещение которых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нормативными правовыми актами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помещении организации;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является необходимым в соответствии с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1.1.</w:t>
            </w: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30%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установленными требованиями, переведенных в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баллы)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 официальных сайтах организации в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1.1.2. Соответствие информации о</w:t>
            </w: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отсутствует информация о деятельности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информационно-телекоммуникационной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 организации</w:t>
            </w: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сети «Интернет».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социального обслуживания,</w:t>
            </w: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информация соответствует требованиям к ней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размещенной на официальных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(доля размещенных материалов в % от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сайтах организации в сети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количества материалов, размещение которых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"Интернет» перечню информации и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является необходимым в соответствии с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требованиям к ней, установленным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установленными требованиями, переведенных в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нормативными правовыми актами</w:t>
            </w: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баллы)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1.2.</w:t>
            </w:r>
          </w:p>
        </w:tc>
        <w:tc>
          <w:tcPr>
            <w:tcW w:w="3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Наличие и функционирование на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30%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1.2.1. Наличие и функционирование</w:t>
            </w:r>
          </w:p>
        </w:tc>
        <w:tc>
          <w:tcPr>
            <w:tcW w:w="4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отсутствуют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 баллов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420"/>
          </w:cols>
          <w:pgMar w:left="980" w:top="1440" w:right="438" w:bottom="402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DAEEF3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  <w:shd w:val="clear" w:color="auto" w:fill="DAEE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restart"/>
            <w:shd w:val="clear" w:color="auto" w:fill="DAEEF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официальном сайте организации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официальном сайте организации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дистанционных способов обратной связи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дистанционных способов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взаимодействия с получателями услуг: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взаимодействия с получателями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телефона;</w:t>
            </w: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телефона;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электронной почты;</w:t>
            </w: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электронной почты;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один дистанционный способ взаимодействия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 баллов</w:t>
            </w: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технической возможности выражения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технической возможности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выражения мнения получателем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мнения получателем услуг о качестве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услуг о качестве условий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два дистанционных способа взаимодействия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 оказания услуг (наличие анкеты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оказания услуг (наличие анкеты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или гиперссылки на нее);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или гиперссылки на нее);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электронных сервисов (форма для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электронного сервиса: форма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подачи электронного обращения/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для подачи электронного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жалобы/ предложения, получение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три дистанционных способа взаимодействия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обращения/жалобы/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консультации по оказываемым услугам 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предложения;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пр.).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электронного сервиса: получение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четыре дистанционных способа</w:t>
            </w:r>
          </w:p>
        </w:tc>
        <w:tc>
          <w:tcPr>
            <w:tcW w:w="8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F2F2F2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консультации по оказываемым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взаимодействия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услугам;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иного электронного сервиса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пять и более дистанционных способов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1.3.1.Удовлетворенность качеством,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качеством, полнотой и доступностью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полнотой и доступностью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 о деятельности организации,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 о деятельности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открытостью, полнотой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размещенной на информационных стендах в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 размещенной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доступностью информации о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помещении организации (в % от общего числа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информационных стендах 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 организации социального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опрошенных получателей услуг, переведенных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помещении организации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обслуживания, размещенной на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баллы)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1.3.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информационных стендах в помещении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40%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1.3.2. Удовлетворенность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 на официальном сайте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качеством, полнотой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качеством, полнотой и доступностью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 в информационно-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доступностью информации 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 о деятельности организации, на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телекоммуникационной сети "Интернет"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 организации,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официальном сайте организации в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(в % от общего числа опрошенных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официальном сайте организации 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информационно-телекоммуникационной сети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получателей услуг) .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"Интернет" (в % от общего числа опрошенных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телекоммуникационной сети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получателей услуг, переведенных в баллы)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"Интернет"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00"/>
          </w:cols>
          <w:pgMar w:left="840" w:top="1440" w:right="298" w:bottom="324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DAEEF3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  <w:shd w:val="clear" w:color="auto" w:fill="DAEE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restart"/>
            <w:shd w:val="clear" w:color="auto" w:fill="DAEEF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 по критерию 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100%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94 баллов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50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4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2.1.1. Наличие комфортных условий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предоставления услуг,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например: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комфортной зоны отдыха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отсутствуют комфортные условия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(ожидания) оборудованной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соответствующей мебелью;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и понятность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навигации внутри организации;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и доступность питьевой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одного условия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Обеспечение в организации комфортных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воды;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 для предоставления услуг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и доступность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(перечень параметров комфортных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санитарно-гигиенических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двух условий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 устанавливается в</w:t>
            </w: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помещений;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2.1.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ведомственном нормативном акте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30%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санитарное состояние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трех условий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уполномоченного федерального органа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помещений организации;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исполнительной власти об утверждении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транспортная доступность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показателей независимой оценки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(доступность общественного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четырех условий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качества).</w:t>
            </w: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транспорта и наличие парковки);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доступность записи на получение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услуги (по телефону, 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использованием сети «Интернет»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пяти условий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официальном сайте организации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пр.);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иные параметры комфортных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условий, установленные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ведомственным актом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шесть и более условий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уполномоченного федерального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органа исполнительной власти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2.2.2. Своевременность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предоставления услуги (в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которым услуга была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2.2.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Время ожидания предоставления услуги.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40%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 записью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предоставлена своевременно (в % от общего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консультацию,  графиком прихода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 опрошенных получателей услуг,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социального работника на дом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переведенных в баллы)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пр.)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-2359660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-185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-2359660</wp:posOffset>
                </wp:positionV>
                <wp:extent cx="1270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8.3pt;margin-top:-185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-2359660</wp:posOffset>
                </wp:positionV>
                <wp:extent cx="12065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19.65pt;margin-top:-185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9954260</wp:posOffset>
                </wp:positionH>
                <wp:positionV relativeFrom="paragraph">
                  <wp:posOffset>-2359660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783.8pt;margin-top:-185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5700"/>
          </w:cols>
          <w:pgMar w:left="840" w:top="1440" w:right="298" w:bottom="305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DAEEF3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  <w:shd w:val="clear" w:color="auto" w:fill="DAEE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restart"/>
            <w:shd w:val="clear" w:color="auto" w:fill="DAEEF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2.3.1.Удовлетворенность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комфортностью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комфортностью предоставления услуг (в % от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99,5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2.3.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30%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комфортностью предоставления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0-100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предоставления услуг (в % от общего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 услуг,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 опрошенных получателей услуг).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переведенных в баллы)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 по критерию 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F2DBDB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87,85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6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Критерий «Доступность услуг для инвалидов»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Оборудование территории, прилегающей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3.1.1. Наличие на территории,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отсутствуют условия доступности для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организации и ее помещений с учетом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прилегающей к организации и в ее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инвалидов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доступности для инвалидов: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помещениях: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оборудованных входных групп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оборудованных входных групп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пандусами/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подъемными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одного условия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пандусами/подъемными платформами;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платформами;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выделенных стоянок для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выделенных стоянок для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автотранспортных средств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двух условий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автотранспортных средств инвалидов;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инвалидов;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адаптированных лифтов, поручней,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адаптированных лифтов,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поручней, расширенных дверных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трех условий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расширенных дверных проемов;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проемов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сменных кресел-колясок;</w:t>
            </w: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сменных кресел-колясок;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четырех условий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80 баллов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специально оборудованных санитарно-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специально оборудованных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гигиенических помещений в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санитарно-гигиенических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пяти условий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помещений в организации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Обеспечение в организации условий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3.2.1. Наличие в организации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 доступности, позволяющих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доступности, позволяющих инвалидам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инвалидам получать услуги наравне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отсутствуют условия доступности,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получать услуги наравне с другими: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другими: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позволяющие инвалидам получать услуги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дублирование для инвалидов по слуху и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дублирование для инвалидов по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наравне с другими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3.2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зрению звуковой и зрительной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40%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слуху и зрению звуковой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информации;</w:t>
            </w: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зрительной информации;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дублирование надписей, знаков и иной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дублирование надписей, знаков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текстовой и графической информации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 иной текстовой и графической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одного условия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знаками, выполненными рельефно-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информации знаками,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точечным шрифтом Брайля;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выполненными рельефно-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00"/>
          </w:cols>
          <w:pgMar w:left="840" w:top="1440" w:right="298" w:bottom="468" w:gutter="0" w:footer="0" w:header="0"/>
        </w:sectPr>
      </w:pPr>
    </w:p>
    <w:p>
      <w:pPr>
        <w:spacing w:after="0" w:line="2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1079500</wp:posOffset>
            </wp:positionV>
            <wp:extent cx="9960610" cy="59220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610" cy="592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ind w:left="5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restart"/>
          </w:tcPr>
          <w:p>
            <w:pPr>
              <w:jc w:val="center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left="5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38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restart"/>
          </w:tcPr>
          <w:p>
            <w:pPr>
              <w:jc w:val="center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left="5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left="5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lef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точечным шрифтом Брайля;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возможность предоставления инвалидам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возможность предоставления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слуху (слуху и зрению) услуг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инвалидам по слуху (слуху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двух условий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сурдопереводчика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зрению) услуг сурдопереводчика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(тифлосурдопереводчика);</w:t>
            </w: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2DBD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(тифлосурдопереводчика);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альтернативной версии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альтернативной версии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официального сайта организации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официального сайта организации в сети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трех условий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 сети "Интернет" для инвалидов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"Интернет" для инвалидов по зрению;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 зрению;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помощь, оказываемая работниками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помощь, оказываемая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работниками организации,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 прошедшими необходимое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четырех условий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прошедшими необходимое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 (инструктирование);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обучение (инструктирование);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 возможности предоставления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возможности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предоставления услуги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услуги в дистанционном режиме или на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 наличие пяти и более условий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дистанционном режиме или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дому.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дому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доступностью услуг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3.3.1.Удовлетворенность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доступностью услуг для инвалидов (в % от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95,1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инвалидов (в % от общего числа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30%</w:t>
            </w: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0-100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доступностью услуг для инвалидов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 услуг –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опрошенных получателей услуг –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инвалидов, переведенных в баллы)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инвалидов).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 по критерию 3</w:t>
            </w:r>
          </w:p>
        </w:tc>
        <w:tc>
          <w:tcPr>
            <w:tcW w:w="120" w:type="dxa"/>
            <w:vAlign w:val="bottom"/>
            <w:tcBorders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100%</w:t>
            </w: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F2DBDB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92,5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3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29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4.1.1.Удовлетворенность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доброжелательностью,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доброжелательностью,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доброжелательностью, вежливостью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вежливостью работников организации,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вежливостью работников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работников организации, обеспечивающих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обеспечивающих первичный контакт 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 обеспечивающих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4.1.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40%</w:t>
            </w: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первичный контакт и информирование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информирование получателя услуги при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первичный контакт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получателя услуги (в % от общего числа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непосредственном обращении в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информирование получателя услуги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опрошенных получателей услуг, переведенных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организацию (в % от общего числа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непосредственном обращении 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баллы)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опрошенных получателей услуг).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организацию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4.2.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доброжелательностью,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40%</w:t>
            </w:r>
          </w:p>
        </w:tc>
        <w:tc>
          <w:tcPr>
            <w:tcW w:w="12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доброжелательностью, вежливостью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вежливостью работников организации,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4.2.1.Удовлетворенность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работников организации, обеспечивающих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00"/>
          </w:cols>
          <w:pgMar w:left="840" w:top="1440" w:right="298" w:bottom="314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DAEEF3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  <w:shd w:val="clear" w:color="auto" w:fill="DAEE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restart"/>
            <w:shd w:val="clear" w:color="auto" w:fill="DAEEF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обеспечивающих непосредственное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доброжелательностью,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непосредственное оказание услуги (в % от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оказание услуги при обращении в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вежливостью работников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 услуг,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организацию (в % от общего числа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 обеспечивающих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переведенных в баллы)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опрошенных получателей услуг).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непосредственное оказание услуги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(социальных работников и прочие)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обращении в организацию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4.3.1.Удовлетворенность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доброжелательностью,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вежливостью работников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 при использовании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дистанционных форм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доброжелательностью,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доброжелательностью, вежливостью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взаимодействия (по телефону, по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вежливостью работников организации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работников организации при использовании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4.3.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20%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электронной почте, с помощью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0-100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использовании дистанционных форм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дистанционных форм взаимодействия (в % от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электронных сервисов (подачи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взаимодействия (в % от общего числа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 услуг,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электронного обращения/ жалоб/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опрошенных получателей услуг).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переведенных в баллы)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предложений, записи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прием/получение услуги, получение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консультации по оказываемым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услугам и пр.))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 по критерию 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100%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F2DBDB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Критерий «Удовлетворенность условиями оказания услуг»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которые готовы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которые готовы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рекомендовать организацию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рекомендовать организацию родственникам и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родственникам и знакомым (могли бы ее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5.1.1.Готовность получателей услуг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знакомым (могли бы ее рекомендовать, если бы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5.1.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рекомендовать, если бы была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рекомендовать организацию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F2F2F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была возможность выбора организации) (в % от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возможность выбора организации) (в %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родственникам и знакомым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 услуг,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общего числа опрошенных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переведенных в баллы)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получателей услуг).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5.2.1. Удовлетворенность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получателей услуг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организационными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организационными условиями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организационными условиями предоставления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5.2.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условиями предоставления услуг (в % от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20%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оказания услуг, например: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0-100 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  <w:shd w:val="clear" w:color="auto" w:fill="DAEEF3"/>
              </w:rPr>
              <w:t>100 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vMerge w:val="continue"/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 (в % от общего числа опрошенных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наличием и понятностью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получателей услуг, переведенных в баллы)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услуг).</w:t>
            </w: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навигации внутри организации;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F2DBDB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2DBDB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DAEEF3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AEEF3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графиком работы организации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5.3.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50%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5.3.1.Удовлетворенность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доля получателей услуг, удовлетворенных в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619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0-100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95,9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00"/>
          </w:cols>
          <w:pgMar w:left="840" w:top="1440" w:right="298" w:bottom="324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Значи-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Значение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Оценка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DAEEF3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мость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restart"/>
            <w:shd w:val="clear" w:color="auto" w:fill="DAEE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Параметры, подлежащие оценке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restart"/>
            <w:shd w:val="clear" w:color="auto" w:fill="DAEEF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Индикаторы параметров оценки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параметров 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п/п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симой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баллах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  <w:shd w:val="clear" w:color="auto" w:fill="DAEEF3"/>
              </w:rPr>
              <w:t>зателя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AEEF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DAEEF3"/>
              </w:rPr>
              <w:t>комиссии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удовлетворенных в целом условиями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получателей услуг в целом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целом условиями оказания услуг в организации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баллов</w:t>
            </w: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оказания услуг в организации (в % от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условиями оказания услуг 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(в % от общего числа опрошенных получателей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 числа опрошенных получателей</w:t>
            </w: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услуг, переведенных в баллы)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услуг).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  <w:shd w:val="clear" w:color="auto" w:fill="F2DBD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 по критерию 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100%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F2DBDB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97,95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F2DBD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баллов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vMerge w:val="continue"/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92D050"/>
            </w:tcBorders>
            <w:gridSpan w:val="2"/>
            <w:shd w:val="clear" w:color="auto" w:fill="92D050"/>
          </w:tcPr>
          <w:p>
            <w:pPr>
              <w:ind w:left="15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ИТОГО: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92D050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94,6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Выводы по результатам оценки критерия «Открытость и доступность информации об организации»: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НЕТ ЗАМЕЧАНИЙ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300" w:right="1700" w:firstLine="71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Выводы по результатам оценки критерия «Комфортность условий предоставления услуг, в том числе время ожидания предоставления услуг»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2.1.1. Наличие комфортных условий для предоставления услуг, например: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140" w:hanging="136"/>
        <w:spacing w:after="0"/>
        <w:tabs>
          <w:tab w:leader="none" w:pos="1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комфортной зоны отдыха (ожидания) оборудованной соответствующей мебелью;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136"/>
        <w:spacing w:after="0"/>
        <w:tabs>
          <w:tab w:leader="none" w:pos="1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и доступность питьевой воды;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000" w:right="6120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Выводы по результатам оценки критерия «Доступность услуг для инвалидов»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Наличие на территории, прилегающей к организации и в ее помещениях:</w:t>
      </w:r>
    </w:p>
    <w:p>
      <w:pPr>
        <w:ind w:left="1140" w:hanging="136"/>
        <w:spacing w:after="0"/>
        <w:tabs>
          <w:tab w:leader="none" w:pos="1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сменных кресел-колясок.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300" w:right="2040" w:firstLine="71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Выводы по результатам оценки критерия «Доброжелательность, вежливость работников организаций социального обслуживания»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НЕТ ЗАМЕЧАНИЙ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Выводы по результатам оценки критерия «Удовлетворенность условиями оказания услуг»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Повысить долю получателей услуг, удовлетворенных в целом условиями оказания услуг в организации до 100%.</w:t>
      </w:r>
    </w:p>
    <w:sectPr>
      <w:pgSz w:w="16840" w:h="11904" w:orient="landscape"/>
      <w:cols w:equalWidth="0" w:num="1">
        <w:col w:w="15700"/>
      </w:cols>
      <w:pgMar w:left="840" w:top="1440" w:right="29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2019-04-18T12:24:28Z</dcterms:created>
  <dcterms:modified xsi:type="dcterms:W3CDTF">2019-04-18T12:24:28Z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