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80" w:rsidRDefault="00357C80" w:rsidP="00357C80">
      <w:pPr>
        <w:ind w:firstLine="709"/>
        <w:jc w:val="center"/>
        <w:rPr>
          <w:b/>
          <w:szCs w:val="28"/>
        </w:rPr>
      </w:pPr>
      <w:r w:rsidRPr="00FA6ABB">
        <w:rPr>
          <w:b/>
          <w:szCs w:val="28"/>
        </w:rPr>
        <w:t>Информация</w:t>
      </w:r>
    </w:p>
    <w:p w:rsidR="00357C80" w:rsidRDefault="00357C80" w:rsidP="00357C80">
      <w:pPr>
        <w:ind w:firstLine="709"/>
        <w:jc w:val="center"/>
        <w:rPr>
          <w:b/>
          <w:szCs w:val="28"/>
        </w:rPr>
      </w:pPr>
      <w:r w:rsidRPr="00FA6ABB">
        <w:rPr>
          <w:b/>
          <w:szCs w:val="28"/>
        </w:rPr>
        <w:t xml:space="preserve">о проведении независимой оценки качества </w:t>
      </w:r>
      <w:r>
        <w:rPr>
          <w:b/>
          <w:szCs w:val="28"/>
        </w:rPr>
        <w:t>работы</w:t>
      </w:r>
    </w:p>
    <w:p w:rsidR="00357C80" w:rsidRDefault="00357C80" w:rsidP="00357C8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БУ «Центр социальной помощи семье и детям «Зазеркалье»</w:t>
      </w:r>
    </w:p>
    <w:p w:rsidR="00FA6ABB" w:rsidRPr="00FA6ABB" w:rsidRDefault="00056C53" w:rsidP="00357C8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за 201</w:t>
      </w:r>
      <w:r w:rsidR="00AD4AF3">
        <w:rPr>
          <w:b/>
          <w:szCs w:val="28"/>
        </w:rPr>
        <w:t>6</w:t>
      </w:r>
      <w:r w:rsidR="00011060">
        <w:rPr>
          <w:b/>
          <w:szCs w:val="28"/>
        </w:rPr>
        <w:t xml:space="preserve"> год</w:t>
      </w:r>
    </w:p>
    <w:p w:rsidR="00FA6ABB" w:rsidRDefault="00FA6ABB" w:rsidP="00FD2840">
      <w:pPr>
        <w:ind w:firstLine="709"/>
        <w:jc w:val="both"/>
        <w:rPr>
          <w:szCs w:val="28"/>
        </w:rPr>
      </w:pPr>
    </w:p>
    <w:p w:rsidR="00FD2840" w:rsidRPr="00FD2840" w:rsidRDefault="00FD2840" w:rsidP="00FD2840">
      <w:pPr>
        <w:ind w:firstLine="709"/>
        <w:jc w:val="both"/>
        <w:rPr>
          <w:szCs w:val="28"/>
        </w:rPr>
      </w:pPr>
      <w:r w:rsidRPr="00FD2840">
        <w:rPr>
          <w:szCs w:val="28"/>
        </w:rPr>
        <w:t xml:space="preserve">В соответствии </w:t>
      </w:r>
      <w:r w:rsidRPr="009F378D">
        <w:rPr>
          <w:szCs w:val="28"/>
        </w:rPr>
        <w:t xml:space="preserve">с приказом Депсоцразвития Югры от </w:t>
      </w:r>
      <w:r w:rsidRPr="00DB6895">
        <w:rPr>
          <w:szCs w:val="28"/>
        </w:rPr>
        <w:t>20.01.2014 года № 37-р «О реализации плана мероприятий по проведению независимой оценки качества</w:t>
      </w:r>
      <w:r w:rsidRPr="009F378D">
        <w:rPr>
          <w:szCs w:val="28"/>
        </w:rPr>
        <w:t xml:space="preserve"> работы учреждений, подведомственных </w:t>
      </w:r>
      <w:proofErr w:type="spellStart"/>
      <w:r w:rsidRPr="009F378D">
        <w:rPr>
          <w:szCs w:val="28"/>
        </w:rPr>
        <w:t>Депсоцразвития</w:t>
      </w:r>
      <w:proofErr w:type="spellEnd"/>
      <w:r w:rsidRPr="009F378D">
        <w:rPr>
          <w:szCs w:val="28"/>
        </w:rPr>
        <w:t xml:space="preserve">  </w:t>
      </w:r>
      <w:proofErr w:type="spellStart"/>
      <w:r w:rsidRPr="009F378D">
        <w:rPr>
          <w:szCs w:val="28"/>
        </w:rPr>
        <w:t>Югры</w:t>
      </w:r>
      <w:proofErr w:type="spellEnd"/>
      <w:r w:rsidRPr="009F378D">
        <w:rPr>
          <w:szCs w:val="28"/>
        </w:rPr>
        <w:t xml:space="preserve">» </w:t>
      </w:r>
      <w:r w:rsidR="00B4447E">
        <w:rPr>
          <w:szCs w:val="28"/>
        </w:rPr>
        <w:t xml:space="preserve">в 2016 году </w:t>
      </w:r>
      <w:r w:rsidRPr="009F378D">
        <w:rPr>
          <w:szCs w:val="28"/>
        </w:rPr>
        <w:t xml:space="preserve">была проведена независимая оценка  качества работы </w:t>
      </w:r>
      <w:r w:rsidR="00DE072B">
        <w:rPr>
          <w:szCs w:val="28"/>
        </w:rPr>
        <w:t xml:space="preserve">БУ «Центр социальной помощи семье и детям «Зазеркалье» </w:t>
      </w:r>
      <w:r w:rsidRPr="009F378D">
        <w:rPr>
          <w:szCs w:val="28"/>
        </w:rPr>
        <w:t xml:space="preserve">членами </w:t>
      </w:r>
      <w:r w:rsidR="00DE072B">
        <w:rPr>
          <w:szCs w:val="28"/>
        </w:rPr>
        <w:t xml:space="preserve">следующих </w:t>
      </w:r>
      <w:r w:rsidRPr="009F378D">
        <w:rPr>
          <w:szCs w:val="28"/>
        </w:rPr>
        <w:t>экспертных групп:</w:t>
      </w:r>
    </w:p>
    <w:p w:rsidR="005E7A78" w:rsidRPr="009F378D" w:rsidRDefault="005E7A78" w:rsidP="005E7A78">
      <w:pPr>
        <w:ind w:firstLine="709"/>
        <w:jc w:val="both"/>
        <w:rPr>
          <w:szCs w:val="28"/>
        </w:rPr>
      </w:pPr>
      <w:r w:rsidRPr="009F378D">
        <w:rPr>
          <w:szCs w:val="28"/>
        </w:rPr>
        <w:t>- бюджетного учреждения Ханты-Мансийского автономного округа – Югры «Методический центр развития социального обслуживания»;</w:t>
      </w:r>
    </w:p>
    <w:p w:rsidR="005E7A78" w:rsidRPr="009F378D" w:rsidRDefault="005E7A78" w:rsidP="005E7A78">
      <w:pPr>
        <w:ind w:firstLine="709"/>
        <w:jc w:val="both"/>
        <w:rPr>
          <w:szCs w:val="28"/>
        </w:rPr>
      </w:pPr>
      <w:r w:rsidRPr="009F378D">
        <w:rPr>
          <w:szCs w:val="28"/>
        </w:rPr>
        <w:t xml:space="preserve">- первичной профсоюзной организации бюджетного учреждения Ханты-Мансийского автономного округа – </w:t>
      </w:r>
      <w:proofErr w:type="spellStart"/>
      <w:r w:rsidRPr="009F378D">
        <w:rPr>
          <w:szCs w:val="28"/>
        </w:rPr>
        <w:t>Югры</w:t>
      </w:r>
      <w:proofErr w:type="spellEnd"/>
      <w:r w:rsidRPr="009F378D">
        <w:rPr>
          <w:szCs w:val="28"/>
        </w:rPr>
        <w:t xml:space="preserve"> «Городская социальная служба</w:t>
      </w:r>
      <w:r>
        <w:rPr>
          <w:szCs w:val="28"/>
        </w:rPr>
        <w:t>»</w:t>
      </w:r>
      <w:r w:rsidRPr="009F378D">
        <w:rPr>
          <w:szCs w:val="28"/>
        </w:rPr>
        <w:t>;</w:t>
      </w:r>
    </w:p>
    <w:p w:rsidR="009F378D" w:rsidRPr="009F378D" w:rsidRDefault="009F378D" w:rsidP="009F378D">
      <w:pPr>
        <w:ind w:firstLine="709"/>
        <w:jc w:val="both"/>
        <w:rPr>
          <w:szCs w:val="28"/>
        </w:rPr>
      </w:pPr>
      <w:r w:rsidRPr="009F378D">
        <w:rPr>
          <w:szCs w:val="28"/>
        </w:rPr>
        <w:t>- Попечительского совета бюджетного учреждения Ханты-Мансийского автономного округа – Югры «Центр социальной помощи семье и детям «Зазеркал</w:t>
      </w:r>
      <w:r w:rsidR="0067332A">
        <w:rPr>
          <w:szCs w:val="28"/>
        </w:rPr>
        <w:t>ье»;</w:t>
      </w:r>
    </w:p>
    <w:p w:rsidR="00FD2840" w:rsidRPr="0067332A" w:rsidRDefault="00DE072B" w:rsidP="00FD2840">
      <w:pPr>
        <w:ind w:firstLine="709"/>
        <w:jc w:val="both"/>
        <w:rPr>
          <w:szCs w:val="28"/>
        </w:rPr>
      </w:pPr>
      <w:r>
        <w:rPr>
          <w:szCs w:val="28"/>
        </w:rPr>
        <w:t xml:space="preserve">- Общественного </w:t>
      </w:r>
      <w:r w:rsidR="00FD2840" w:rsidRPr="0067332A">
        <w:rPr>
          <w:szCs w:val="28"/>
        </w:rPr>
        <w:t xml:space="preserve"> совет</w:t>
      </w:r>
      <w:r>
        <w:rPr>
          <w:szCs w:val="28"/>
        </w:rPr>
        <w:t xml:space="preserve">а </w:t>
      </w:r>
      <w:r w:rsidR="00FD2840" w:rsidRPr="0067332A">
        <w:rPr>
          <w:szCs w:val="28"/>
        </w:rPr>
        <w:t xml:space="preserve"> при Департаменте социального развития Ханты-Мансийс</w:t>
      </w:r>
      <w:r w:rsidR="005E7A78">
        <w:rPr>
          <w:szCs w:val="28"/>
        </w:rPr>
        <w:t xml:space="preserve">кого автономного округа – </w:t>
      </w:r>
      <w:proofErr w:type="spellStart"/>
      <w:r w:rsidR="005E7A78">
        <w:rPr>
          <w:szCs w:val="28"/>
        </w:rPr>
        <w:t>Югры</w:t>
      </w:r>
      <w:proofErr w:type="spellEnd"/>
      <w:r w:rsidR="005E7A78">
        <w:rPr>
          <w:szCs w:val="28"/>
        </w:rPr>
        <w:t>.</w:t>
      </w:r>
    </w:p>
    <w:p w:rsidR="005E7A78" w:rsidRDefault="005E7A78" w:rsidP="00FD2840">
      <w:pPr>
        <w:jc w:val="center"/>
        <w:rPr>
          <w:b/>
          <w:szCs w:val="28"/>
        </w:rPr>
      </w:pPr>
    </w:p>
    <w:p w:rsidR="00FD2840" w:rsidRPr="006D5EA1" w:rsidRDefault="00FD2840" w:rsidP="00FD2840">
      <w:pPr>
        <w:jc w:val="center"/>
        <w:rPr>
          <w:rFonts w:eastAsia="+mn-ea"/>
          <w:b/>
          <w:color w:val="000000"/>
          <w:kern w:val="24"/>
          <w:szCs w:val="28"/>
        </w:rPr>
      </w:pPr>
      <w:r w:rsidRPr="006D5EA1">
        <w:rPr>
          <w:b/>
          <w:szCs w:val="28"/>
        </w:rPr>
        <w:t>Результаты не</w:t>
      </w:r>
      <w:r w:rsidRPr="006D5EA1">
        <w:rPr>
          <w:rFonts w:eastAsia="+mn-ea"/>
          <w:b/>
          <w:color w:val="000000"/>
          <w:kern w:val="24"/>
          <w:szCs w:val="28"/>
        </w:rPr>
        <w:t xml:space="preserve">зависимой оценки качества работы </w:t>
      </w:r>
      <w:r w:rsidRPr="006D5EA1">
        <w:rPr>
          <w:b/>
          <w:szCs w:val="28"/>
        </w:rPr>
        <w:t xml:space="preserve">Учреждения </w:t>
      </w:r>
      <w:r w:rsidR="00850FB9" w:rsidRPr="006D5EA1">
        <w:rPr>
          <w:b/>
          <w:szCs w:val="28"/>
        </w:rPr>
        <w:t>в 201</w:t>
      </w:r>
      <w:r w:rsidR="005E7A78">
        <w:rPr>
          <w:b/>
          <w:szCs w:val="28"/>
        </w:rPr>
        <w:t>6</w:t>
      </w:r>
      <w:r w:rsidR="00850FB9" w:rsidRPr="006D5EA1">
        <w:rPr>
          <w:b/>
          <w:szCs w:val="28"/>
        </w:rPr>
        <w:t xml:space="preserve"> году</w:t>
      </w:r>
    </w:p>
    <w:p w:rsidR="00FD2840" w:rsidRPr="00FD2840" w:rsidRDefault="00FD2840" w:rsidP="00FD2840">
      <w:pPr>
        <w:jc w:val="center"/>
        <w:rPr>
          <w:b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1417"/>
        <w:gridCol w:w="1276"/>
        <w:gridCol w:w="2126"/>
        <w:gridCol w:w="1559"/>
      </w:tblGrid>
      <w:tr w:rsidR="005E7A78" w:rsidRPr="001A48E9" w:rsidTr="00EA578F">
        <w:trPr>
          <w:trHeight w:val="654"/>
        </w:trPr>
        <w:tc>
          <w:tcPr>
            <w:tcW w:w="2694" w:type="dxa"/>
          </w:tcPr>
          <w:p w:rsidR="005E7A78" w:rsidRPr="001A48E9" w:rsidRDefault="005E7A78">
            <w:pPr>
              <w:jc w:val="center"/>
              <w:rPr>
                <w:bCs/>
                <w:sz w:val="24"/>
              </w:rPr>
            </w:pPr>
            <w:r w:rsidRPr="001A48E9">
              <w:rPr>
                <w:bCs/>
                <w:sz w:val="24"/>
              </w:rPr>
              <w:t xml:space="preserve">Рейтинги </w:t>
            </w:r>
          </w:p>
          <w:p w:rsidR="005E7A78" w:rsidRPr="001A48E9" w:rsidRDefault="005E7A78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 w:rsidR="005E7A78" w:rsidRPr="001A48E9" w:rsidRDefault="005E7A78" w:rsidP="001A48E9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1A48E9">
              <w:rPr>
                <w:b/>
                <w:bCs/>
                <w:sz w:val="24"/>
              </w:rPr>
              <w:t>Среднее значение оценки</w:t>
            </w:r>
          </w:p>
        </w:tc>
        <w:tc>
          <w:tcPr>
            <w:tcW w:w="1417" w:type="dxa"/>
          </w:tcPr>
          <w:p w:rsidR="005E7A78" w:rsidRPr="001A48E9" w:rsidRDefault="005E7A78" w:rsidP="00EA578F">
            <w:pPr>
              <w:ind w:left="-81" w:right="-108"/>
              <w:jc w:val="center"/>
              <w:rPr>
                <w:bCs/>
                <w:sz w:val="24"/>
              </w:rPr>
            </w:pPr>
            <w:r w:rsidRPr="001A48E9">
              <w:rPr>
                <w:bCs/>
                <w:sz w:val="24"/>
              </w:rPr>
              <w:t>Нормативное значение</w:t>
            </w:r>
          </w:p>
        </w:tc>
        <w:tc>
          <w:tcPr>
            <w:tcW w:w="1276" w:type="dxa"/>
          </w:tcPr>
          <w:p w:rsidR="005E7A78" w:rsidRPr="001A48E9" w:rsidRDefault="005E7A78" w:rsidP="001A48E9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1A48E9">
              <w:rPr>
                <w:b/>
                <w:bCs/>
                <w:sz w:val="24"/>
              </w:rPr>
              <w:t>% от норматива</w:t>
            </w:r>
          </w:p>
        </w:tc>
        <w:tc>
          <w:tcPr>
            <w:tcW w:w="2126" w:type="dxa"/>
          </w:tcPr>
          <w:p w:rsidR="005E7A78" w:rsidRPr="001A48E9" w:rsidRDefault="005E7A78" w:rsidP="001A48E9">
            <w:pPr>
              <w:ind w:left="-108"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Градация по уровню достижения нормативно-установленных баллов</w:t>
            </w:r>
          </w:p>
        </w:tc>
        <w:tc>
          <w:tcPr>
            <w:tcW w:w="1559" w:type="dxa"/>
          </w:tcPr>
          <w:p w:rsidR="005E7A78" w:rsidRPr="001A48E9" w:rsidRDefault="005E7A78" w:rsidP="001A48E9">
            <w:pPr>
              <w:ind w:left="-108" w:right="-80"/>
              <w:jc w:val="center"/>
              <w:rPr>
                <w:b/>
                <w:bCs/>
                <w:sz w:val="24"/>
              </w:rPr>
            </w:pPr>
            <w:r w:rsidRPr="001A48E9">
              <w:rPr>
                <w:b/>
                <w:bCs/>
                <w:sz w:val="24"/>
              </w:rPr>
              <w:t>Место</w:t>
            </w:r>
          </w:p>
          <w:p w:rsidR="005E7A78" w:rsidRPr="001A48E9" w:rsidRDefault="005E7A78" w:rsidP="001A48E9">
            <w:pPr>
              <w:ind w:left="-108" w:right="-80"/>
              <w:jc w:val="center"/>
              <w:rPr>
                <w:b/>
                <w:bCs/>
                <w:sz w:val="24"/>
              </w:rPr>
            </w:pPr>
            <w:r w:rsidRPr="001A48E9">
              <w:rPr>
                <w:b/>
                <w:bCs/>
                <w:sz w:val="24"/>
              </w:rPr>
              <w:t xml:space="preserve"> в рейтинге</w:t>
            </w:r>
          </w:p>
        </w:tc>
      </w:tr>
      <w:tr w:rsidR="005E7A78" w:rsidRPr="005E7A78" w:rsidTr="00EA578F">
        <w:trPr>
          <w:trHeight w:val="654"/>
        </w:trPr>
        <w:tc>
          <w:tcPr>
            <w:tcW w:w="2694" w:type="dxa"/>
          </w:tcPr>
          <w:p w:rsidR="005E7A78" w:rsidRPr="004934CF" w:rsidRDefault="005E7A78" w:rsidP="00EA578F">
            <w:pPr>
              <w:ind w:right="-108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Рейтинг  учреждений (</w:t>
            </w:r>
            <w:r w:rsidR="004934CF">
              <w:rPr>
                <w:bCs/>
                <w:sz w:val="24"/>
              </w:rPr>
              <w:t xml:space="preserve">форма социального обслуживания: </w:t>
            </w:r>
            <w:proofErr w:type="spellStart"/>
            <w:r w:rsidRPr="004934CF">
              <w:rPr>
                <w:bCs/>
                <w:sz w:val="24"/>
              </w:rPr>
              <w:t>полустационар</w:t>
            </w:r>
            <w:r w:rsidR="004934CF">
              <w:rPr>
                <w:bCs/>
                <w:sz w:val="24"/>
              </w:rPr>
              <w:t>ная</w:t>
            </w:r>
            <w:proofErr w:type="spellEnd"/>
            <w:r w:rsidRPr="004934CF">
              <w:rPr>
                <w:bCs/>
                <w:sz w:val="24"/>
              </w:rPr>
              <w:t>)</w:t>
            </w:r>
          </w:p>
        </w:tc>
        <w:tc>
          <w:tcPr>
            <w:tcW w:w="1134" w:type="dxa"/>
          </w:tcPr>
          <w:p w:rsidR="005E7A78" w:rsidRPr="004934CF" w:rsidRDefault="004934CF" w:rsidP="001A48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35,81</w:t>
            </w:r>
          </w:p>
        </w:tc>
        <w:tc>
          <w:tcPr>
            <w:tcW w:w="1417" w:type="dxa"/>
          </w:tcPr>
          <w:p w:rsidR="005E7A78" w:rsidRPr="004934CF" w:rsidRDefault="004934CF" w:rsidP="001A48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</w:p>
        </w:tc>
        <w:tc>
          <w:tcPr>
            <w:tcW w:w="1276" w:type="dxa"/>
          </w:tcPr>
          <w:p w:rsidR="005E7A78" w:rsidRPr="004934CF" w:rsidRDefault="004934CF" w:rsidP="001A48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94,2</w:t>
            </w:r>
            <w:r w:rsidR="005E7A78" w:rsidRPr="004934CF">
              <w:rPr>
                <w:b/>
                <w:bCs/>
                <w:sz w:val="24"/>
              </w:rPr>
              <w:t>%</w:t>
            </w:r>
          </w:p>
        </w:tc>
        <w:tc>
          <w:tcPr>
            <w:tcW w:w="2126" w:type="dxa"/>
          </w:tcPr>
          <w:p w:rsidR="005E7A78" w:rsidRPr="004934CF" w:rsidRDefault="005E7A78" w:rsidP="001A48E9">
            <w:pPr>
              <w:ind w:left="-108" w:right="-108"/>
              <w:jc w:val="center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1 группа</w:t>
            </w:r>
          </w:p>
          <w:p w:rsidR="005E7A78" w:rsidRPr="004934CF" w:rsidRDefault="005E7A78" w:rsidP="001A48E9">
            <w:pPr>
              <w:ind w:left="-108" w:right="-108"/>
              <w:jc w:val="center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(70 и более %)</w:t>
            </w:r>
          </w:p>
        </w:tc>
        <w:tc>
          <w:tcPr>
            <w:tcW w:w="1559" w:type="dxa"/>
          </w:tcPr>
          <w:p w:rsidR="005E7A78" w:rsidRPr="004934CF" w:rsidRDefault="004934CF" w:rsidP="001A48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</w:p>
        </w:tc>
      </w:tr>
      <w:tr w:rsidR="005E7A78" w:rsidRPr="004934CF" w:rsidTr="00EA578F">
        <w:trPr>
          <w:trHeight w:val="654"/>
        </w:trPr>
        <w:tc>
          <w:tcPr>
            <w:tcW w:w="2694" w:type="dxa"/>
          </w:tcPr>
          <w:p w:rsidR="005E7A78" w:rsidRPr="004934CF" w:rsidRDefault="005E7A78" w:rsidP="00EA578F">
            <w:pPr>
              <w:ind w:right="-108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 xml:space="preserve">Рейтинг  учреждений </w:t>
            </w:r>
          </w:p>
          <w:p w:rsidR="005E7A78" w:rsidRPr="004934CF" w:rsidRDefault="005E7A78" w:rsidP="00EA578F">
            <w:pPr>
              <w:ind w:right="-108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(учреждения семьи и детей)</w:t>
            </w:r>
          </w:p>
        </w:tc>
        <w:tc>
          <w:tcPr>
            <w:tcW w:w="1134" w:type="dxa"/>
          </w:tcPr>
          <w:p w:rsidR="005E7A78" w:rsidRPr="004934CF" w:rsidRDefault="005E7A78" w:rsidP="001A48E9">
            <w:pPr>
              <w:jc w:val="center"/>
              <w:rPr>
                <w:b/>
                <w:bCs/>
                <w:sz w:val="24"/>
              </w:rPr>
            </w:pPr>
            <w:r w:rsidRPr="004934CF">
              <w:rPr>
                <w:b/>
                <w:bCs/>
                <w:sz w:val="24"/>
              </w:rPr>
              <w:t>35,81</w:t>
            </w:r>
          </w:p>
        </w:tc>
        <w:tc>
          <w:tcPr>
            <w:tcW w:w="1417" w:type="dxa"/>
          </w:tcPr>
          <w:p w:rsidR="005E7A78" w:rsidRPr="004934CF" w:rsidRDefault="005E7A78" w:rsidP="005E7A78">
            <w:pPr>
              <w:jc w:val="center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38</w:t>
            </w:r>
          </w:p>
        </w:tc>
        <w:tc>
          <w:tcPr>
            <w:tcW w:w="1276" w:type="dxa"/>
          </w:tcPr>
          <w:p w:rsidR="005E7A78" w:rsidRPr="004934CF" w:rsidRDefault="005E7A78" w:rsidP="001A48E9">
            <w:pPr>
              <w:jc w:val="center"/>
              <w:rPr>
                <w:b/>
                <w:bCs/>
                <w:sz w:val="24"/>
              </w:rPr>
            </w:pPr>
            <w:r w:rsidRPr="004934CF">
              <w:rPr>
                <w:b/>
                <w:bCs/>
                <w:sz w:val="24"/>
              </w:rPr>
              <w:t>94,2%</w:t>
            </w:r>
          </w:p>
        </w:tc>
        <w:tc>
          <w:tcPr>
            <w:tcW w:w="2126" w:type="dxa"/>
          </w:tcPr>
          <w:p w:rsidR="005E7A78" w:rsidRPr="004934CF" w:rsidRDefault="005E7A78" w:rsidP="001A48E9">
            <w:pPr>
              <w:ind w:left="-108" w:right="-108"/>
              <w:jc w:val="center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1 группа</w:t>
            </w:r>
          </w:p>
          <w:p w:rsidR="005E7A78" w:rsidRPr="004934CF" w:rsidRDefault="005E7A78" w:rsidP="001A48E9">
            <w:pPr>
              <w:ind w:left="-108" w:right="-108"/>
              <w:jc w:val="center"/>
              <w:rPr>
                <w:bCs/>
                <w:sz w:val="24"/>
              </w:rPr>
            </w:pPr>
            <w:r w:rsidRPr="004934CF">
              <w:rPr>
                <w:bCs/>
                <w:sz w:val="24"/>
              </w:rPr>
              <w:t>(70 и более %)</w:t>
            </w:r>
          </w:p>
        </w:tc>
        <w:tc>
          <w:tcPr>
            <w:tcW w:w="1559" w:type="dxa"/>
          </w:tcPr>
          <w:p w:rsidR="005E7A78" w:rsidRPr="004934CF" w:rsidRDefault="005E7A78" w:rsidP="005E7A78">
            <w:pPr>
              <w:jc w:val="center"/>
              <w:rPr>
                <w:b/>
                <w:bCs/>
                <w:sz w:val="24"/>
              </w:rPr>
            </w:pPr>
            <w:r w:rsidRPr="004934CF">
              <w:rPr>
                <w:b/>
                <w:bCs/>
                <w:sz w:val="24"/>
              </w:rPr>
              <w:t>21</w:t>
            </w:r>
          </w:p>
        </w:tc>
      </w:tr>
    </w:tbl>
    <w:p w:rsidR="00927AFF" w:rsidRDefault="00927AFF">
      <w:pPr>
        <w:rPr>
          <w:szCs w:val="28"/>
        </w:rPr>
      </w:pPr>
    </w:p>
    <w:p w:rsidR="00157DC6" w:rsidRDefault="00157DC6" w:rsidP="00157DC6">
      <w:pPr>
        <w:tabs>
          <w:tab w:val="left" w:pos="426"/>
          <w:tab w:val="left" w:pos="1134"/>
        </w:tabs>
        <w:spacing w:line="360" w:lineRule="auto"/>
        <w:jc w:val="both"/>
        <w:rPr>
          <w:szCs w:val="28"/>
        </w:rPr>
      </w:pPr>
      <w:r>
        <w:rPr>
          <w:color w:val="36393D"/>
          <w:szCs w:val="28"/>
          <w:shd w:val="clear" w:color="auto" w:fill="FFFFFF"/>
        </w:rPr>
        <w:tab/>
      </w:r>
      <w:r w:rsidR="0093606B" w:rsidRPr="0093606B">
        <w:rPr>
          <w:color w:val="36393D"/>
          <w:szCs w:val="28"/>
          <w:shd w:val="clear" w:color="auto" w:fill="FFFFFF"/>
        </w:rPr>
        <w:t xml:space="preserve">Общественным советом при </w:t>
      </w:r>
      <w:proofErr w:type="spellStart"/>
      <w:r w:rsidR="0093606B" w:rsidRPr="0093606B">
        <w:rPr>
          <w:color w:val="36393D"/>
          <w:szCs w:val="28"/>
          <w:shd w:val="clear" w:color="auto" w:fill="FFFFFF"/>
        </w:rPr>
        <w:t>Депсоцразвития</w:t>
      </w:r>
      <w:proofErr w:type="spellEnd"/>
      <w:r w:rsidR="0093606B" w:rsidRPr="0093606B">
        <w:rPr>
          <w:color w:val="36393D"/>
          <w:szCs w:val="28"/>
          <w:shd w:val="clear" w:color="auto" w:fill="FFFFFF"/>
        </w:rPr>
        <w:t xml:space="preserve"> </w:t>
      </w:r>
      <w:r>
        <w:rPr>
          <w:color w:val="36393D"/>
          <w:szCs w:val="28"/>
          <w:shd w:val="clear" w:color="auto" w:fill="FFFFFF"/>
        </w:rPr>
        <w:t xml:space="preserve"> </w:t>
      </w:r>
      <w:proofErr w:type="spellStart"/>
      <w:r w:rsidR="0093606B" w:rsidRPr="0093606B">
        <w:rPr>
          <w:color w:val="36393D"/>
          <w:szCs w:val="28"/>
          <w:shd w:val="clear" w:color="auto" w:fill="FFFFFF"/>
        </w:rPr>
        <w:t>Югры</w:t>
      </w:r>
      <w:proofErr w:type="spellEnd"/>
      <w:r w:rsidR="0093606B" w:rsidRPr="0093606B">
        <w:rPr>
          <w:color w:val="36393D"/>
          <w:szCs w:val="28"/>
          <w:shd w:val="clear" w:color="auto" w:fill="FFFFFF"/>
        </w:rPr>
        <w:t xml:space="preserve"> по результатам независимой оценки качества </w:t>
      </w:r>
      <w:r>
        <w:rPr>
          <w:color w:val="36393D"/>
          <w:szCs w:val="28"/>
          <w:shd w:val="clear" w:color="auto" w:fill="FFFFFF"/>
        </w:rPr>
        <w:t xml:space="preserve">работы </w:t>
      </w:r>
      <w:r w:rsidR="0093606B" w:rsidRPr="0093606B">
        <w:rPr>
          <w:color w:val="36393D"/>
          <w:szCs w:val="28"/>
          <w:shd w:val="clear" w:color="auto" w:fill="FFFFFF"/>
        </w:rPr>
        <w:t>даны предложения по улучшению качества  работы учреждения, на основании которых составлен План мероприятий по улучшению качества работы учреждения на 201</w:t>
      </w:r>
      <w:r w:rsidR="0093606B">
        <w:rPr>
          <w:color w:val="36393D"/>
          <w:szCs w:val="28"/>
          <w:shd w:val="clear" w:color="auto" w:fill="FFFFFF"/>
        </w:rPr>
        <w:t>7</w:t>
      </w:r>
      <w:r w:rsidR="0093606B" w:rsidRPr="0093606B">
        <w:rPr>
          <w:color w:val="36393D"/>
          <w:szCs w:val="28"/>
          <w:shd w:val="clear" w:color="auto" w:fill="FFFFFF"/>
        </w:rPr>
        <w:t xml:space="preserve"> год, включающий проведение мероприятий по </w:t>
      </w:r>
      <w:r w:rsidRPr="00EB68E5">
        <w:rPr>
          <w:szCs w:val="28"/>
        </w:rPr>
        <w:t>обеспечени</w:t>
      </w:r>
      <w:r>
        <w:rPr>
          <w:szCs w:val="28"/>
        </w:rPr>
        <w:t>ю</w:t>
      </w:r>
      <w:r w:rsidRPr="00EB68E5">
        <w:rPr>
          <w:szCs w:val="28"/>
        </w:rPr>
        <w:t xml:space="preserve"> условий доступности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получателей услуг.</w:t>
      </w:r>
    </w:p>
    <w:p w:rsidR="004D3E38" w:rsidRDefault="004D3E38" w:rsidP="004D3E38">
      <w:pPr>
        <w:ind w:left="-567" w:firstLine="567"/>
        <w:outlineLvl w:val="0"/>
        <w:rPr>
          <w:sz w:val="20"/>
          <w:szCs w:val="20"/>
        </w:rPr>
      </w:pPr>
    </w:p>
    <w:p w:rsidR="004D3E38" w:rsidRDefault="004D3E38" w:rsidP="004D3E38">
      <w:pPr>
        <w:ind w:left="-567" w:firstLine="567"/>
        <w:outlineLvl w:val="0"/>
        <w:rPr>
          <w:sz w:val="20"/>
          <w:szCs w:val="20"/>
        </w:rPr>
      </w:pPr>
    </w:p>
    <w:p w:rsidR="004D3E38" w:rsidRDefault="004D3E38" w:rsidP="004D3E38">
      <w:pPr>
        <w:ind w:left="-567" w:firstLine="567"/>
        <w:outlineLvl w:val="0"/>
        <w:rPr>
          <w:sz w:val="20"/>
          <w:szCs w:val="20"/>
        </w:rPr>
      </w:pPr>
      <w:r w:rsidRPr="00AE138C">
        <w:rPr>
          <w:sz w:val="20"/>
          <w:szCs w:val="20"/>
        </w:rPr>
        <w:t>Исполнитель:  специалист по социальной работе</w:t>
      </w:r>
    </w:p>
    <w:p w:rsidR="004D3E38" w:rsidRDefault="004D3E38" w:rsidP="004D3E38">
      <w:pPr>
        <w:ind w:left="-567"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организационно-методического отделения </w:t>
      </w:r>
    </w:p>
    <w:p w:rsidR="00EA578F" w:rsidRDefault="004D3E38" w:rsidP="004D3E38">
      <w:pPr>
        <w:ind w:left="-567" w:firstLine="567"/>
        <w:outlineLvl w:val="0"/>
        <w:rPr>
          <w:szCs w:val="28"/>
        </w:rPr>
      </w:pPr>
      <w:r>
        <w:rPr>
          <w:sz w:val="20"/>
          <w:szCs w:val="20"/>
        </w:rPr>
        <w:t>Царёва Наталья Алексеевна</w:t>
      </w:r>
      <w:r w:rsidRPr="00AE138C">
        <w:rPr>
          <w:sz w:val="20"/>
          <w:szCs w:val="20"/>
        </w:rPr>
        <w:t>,  8(3462)32-90-79</w:t>
      </w:r>
    </w:p>
    <w:sectPr w:rsidR="00EA578F" w:rsidSect="00FD28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7862"/>
    <w:multiLevelType w:val="hybridMultilevel"/>
    <w:tmpl w:val="25685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40"/>
    <w:rsid w:val="00011060"/>
    <w:rsid w:val="00056C53"/>
    <w:rsid w:val="00157DC6"/>
    <w:rsid w:val="001A48E9"/>
    <w:rsid w:val="0035596C"/>
    <w:rsid w:val="00357C80"/>
    <w:rsid w:val="003D25BD"/>
    <w:rsid w:val="004934CF"/>
    <w:rsid w:val="004D3E38"/>
    <w:rsid w:val="004D3E92"/>
    <w:rsid w:val="00551C49"/>
    <w:rsid w:val="005E233D"/>
    <w:rsid w:val="005E7A78"/>
    <w:rsid w:val="00632CB0"/>
    <w:rsid w:val="0067332A"/>
    <w:rsid w:val="006D5EA1"/>
    <w:rsid w:val="007E3FB8"/>
    <w:rsid w:val="0082727B"/>
    <w:rsid w:val="00850FB9"/>
    <w:rsid w:val="00927AFF"/>
    <w:rsid w:val="0093606B"/>
    <w:rsid w:val="00964048"/>
    <w:rsid w:val="009F378D"/>
    <w:rsid w:val="00AD4AF3"/>
    <w:rsid w:val="00B4447E"/>
    <w:rsid w:val="00B96027"/>
    <w:rsid w:val="00BB6A13"/>
    <w:rsid w:val="00C44751"/>
    <w:rsid w:val="00C52A9A"/>
    <w:rsid w:val="00DB6895"/>
    <w:rsid w:val="00DE072B"/>
    <w:rsid w:val="00E60F4C"/>
    <w:rsid w:val="00EA578F"/>
    <w:rsid w:val="00EC5D8B"/>
    <w:rsid w:val="00F01284"/>
    <w:rsid w:val="00F03788"/>
    <w:rsid w:val="00FA1BFB"/>
    <w:rsid w:val="00FA6ABB"/>
    <w:rsid w:val="00FD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krainova</dc:creator>
  <cp:keywords/>
  <dc:description/>
  <cp:lastModifiedBy>malinina</cp:lastModifiedBy>
  <cp:revision>18</cp:revision>
  <cp:lastPrinted>2016-12-27T11:47:00Z</cp:lastPrinted>
  <dcterms:created xsi:type="dcterms:W3CDTF">2015-03-17T13:02:00Z</dcterms:created>
  <dcterms:modified xsi:type="dcterms:W3CDTF">2017-12-15T09:34:00Z</dcterms:modified>
</cp:coreProperties>
</file>