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E" w:rsidRPr="000E54BE" w:rsidRDefault="00F148AB" w:rsidP="000E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BE">
        <w:rPr>
          <w:rFonts w:ascii="Times New Roman" w:eastAsia="Calibri" w:hAnsi="Times New Roman" w:cs="Times New Roman"/>
          <w:b/>
          <w:sz w:val="28"/>
          <w:szCs w:val="28"/>
        </w:rPr>
        <w:t>ОБЕСПЕЧЕНИЕ ДОСТУПНОСТИ КАЧЕСТВЕННОГО ПРЕДОСТАВЛЕНИЯ СОЦИАЛЬНЫХ УСЛУГ НА ОСНОВЕ РАЗВИТИЯ НАСТАВНИЧЕСТВА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УЧРЕЖДЕНИИ</w:t>
      </w:r>
    </w:p>
    <w:p w:rsidR="00786B90" w:rsidRPr="00786B90" w:rsidRDefault="00786B90" w:rsidP="00786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B545A" w:rsidRPr="000E54BE" w:rsidRDefault="000E54BE" w:rsidP="00925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BE">
        <w:rPr>
          <w:rFonts w:ascii="Times New Roman" w:hAnsi="Times New Roman" w:cs="Times New Roman"/>
          <w:i/>
          <w:sz w:val="28"/>
          <w:szCs w:val="28"/>
        </w:rPr>
        <w:t>Маринина Наталья Евгеньевна</w:t>
      </w:r>
      <w:r w:rsidR="001B545A" w:rsidRPr="000E54B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E54BE" w:rsidRDefault="00786B90" w:rsidP="00925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BE">
        <w:rPr>
          <w:rFonts w:ascii="Times New Roman" w:hAnsi="Times New Roman" w:cs="Times New Roman"/>
          <w:i/>
          <w:sz w:val="28"/>
          <w:szCs w:val="28"/>
        </w:rPr>
        <w:t xml:space="preserve"> специалист по </w:t>
      </w:r>
      <w:r w:rsidR="000E54BE" w:rsidRPr="000E54BE">
        <w:rPr>
          <w:rFonts w:ascii="Times New Roman" w:hAnsi="Times New Roman" w:cs="Times New Roman"/>
          <w:i/>
          <w:sz w:val="28"/>
          <w:szCs w:val="28"/>
        </w:rPr>
        <w:t xml:space="preserve">кадрам, </w:t>
      </w:r>
    </w:p>
    <w:p w:rsidR="009A7A7F" w:rsidRPr="00FA0A00" w:rsidRDefault="00FA0A00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00"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="009A7A7F" w:rsidRPr="00FA0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A7F" w:rsidRPr="00FA0A00">
        <w:rPr>
          <w:rFonts w:ascii="Times New Roman" w:hAnsi="Times New Roman" w:cs="Times New Roman"/>
          <w:i/>
          <w:sz w:val="28"/>
          <w:szCs w:val="28"/>
        </w:rPr>
        <w:t>учреждени</w:t>
      </w:r>
      <w:r w:rsidRPr="00FA0A00">
        <w:rPr>
          <w:rFonts w:ascii="Times New Roman" w:hAnsi="Times New Roman" w:cs="Times New Roman"/>
          <w:i/>
          <w:sz w:val="28"/>
          <w:szCs w:val="28"/>
        </w:rPr>
        <w:t>я</w:t>
      </w:r>
    </w:p>
    <w:p w:rsidR="009A7A7F" w:rsidRPr="00FA0A00" w:rsidRDefault="009A7A7F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00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</w:t>
      </w:r>
    </w:p>
    <w:p w:rsidR="009A7A7F" w:rsidRPr="000E54BE" w:rsidRDefault="009A7A7F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00">
        <w:rPr>
          <w:rFonts w:ascii="Times New Roman" w:hAnsi="Times New Roman" w:cs="Times New Roman"/>
          <w:i/>
          <w:sz w:val="28"/>
          <w:szCs w:val="28"/>
        </w:rPr>
        <w:t>«Сургутский центр социальной помощи семье и детям»</w:t>
      </w:r>
    </w:p>
    <w:p w:rsidR="000E54BE" w:rsidRPr="000E54BE" w:rsidRDefault="000E54BE" w:rsidP="00925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BE">
        <w:rPr>
          <w:rFonts w:ascii="Times New Roman" w:hAnsi="Times New Roman" w:cs="Times New Roman"/>
          <w:i/>
          <w:sz w:val="28"/>
          <w:szCs w:val="28"/>
        </w:rPr>
        <w:t>Царёва Наталья Алексеевна,</w:t>
      </w:r>
    </w:p>
    <w:p w:rsidR="00786B90" w:rsidRDefault="000E54BE" w:rsidP="00925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BE">
        <w:rPr>
          <w:rFonts w:ascii="Times New Roman" w:hAnsi="Times New Roman" w:cs="Times New Roman"/>
          <w:i/>
          <w:sz w:val="28"/>
          <w:szCs w:val="28"/>
        </w:rPr>
        <w:t xml:space="preserve"> специалист по социальной работе </w:t>
      </w:r>
    </w:p>
    <w:p w:rsidR="009A7A7F" w:rsidRPr="009A7A7F" w:rsidRDefault="00FA0A00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бюджетного </w:t>
      </w:r>
      <w:r w:rsidR="009A7A7F" w:rsidRPr="009A7A7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9A7A7F" w:rsidRPr="009A7A7F" w:rsidRDefault="009A7A7F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A7F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</w:t>
      </w:r>
    </w:p>
    <w:p w:rsidR="009A7A7F" w:rsidRPr="000E54BE" w:rsidRDefault="009A7A7F" w:rsidP="009A7A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A7F">
        <w:rPr>
          <w:rFonts w:ascii="Times New Roman" w:hAnsi="Times New Roman" w:cs="Times New Roman"/>
          <w:i/>
          <w:sz w:val="28"/>
          <w:szCs w:val="28"/>
        </w:rPr>
        <w:t>«Сургутский центр социальной помощи семье и детям»</w:t>
      </w:r>
    </w:p>
    <w:p w:rsidR="00B17328" w:rsidRPr="002F650A" w:rsidRDefault="00B17328" w:rsidP="00925A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5E8D" w:rsidRDefault="00075E8D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работниками учреждений социального обслуживания на современном этапе стоят задачи повышения адресной социальной поддержки населения и качества </w:t>
      </w:r>
      <w:r w:rsidR="000E54BE">
        <w:rPr>
          <w:rFonts w:ascii="Times New Roman" w:hAnsi="Times New Roman" w:cs="Times New Roman"/>
          <w:sz w:val="28"/>
          <w:szCs w:val="28"/>
        </w:rPr>
        <w:t xml:space="preserve">предоставления социальных </w:t>
      </w:r>
      <w:r w:rsidR="000E54BE" w:rsidRPr="008B126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D66E2">
        <w:rPr>
          <w:rFonts w:ascii="Times New Roman" w:hAnsi="Times New Roman" w:cs="Times New Roman"/>
          <w:sz w:val="28"/>
          <w:szCs w:val="28"/>
        </w:rPr>
        <w:t>[</w:t>
      </w:r>
      <w:r w:rsidR="00B9218B">
        <w:rPr>
          <w:rFonts w:ascii="Times New Roman" w:hAnsi="Times New Roman" w:cs="Times New Roman"/>
          <w:sz w:val="28"/>
          <w:szCs w:val="28"/>
        </w:rPr>
        <w:t>1</w:t>
      </w:r>
      <w:r w:rsidR="00F148AB" w:rsidRPr="00F148AB">
        <w:rPr>
          <w:rFonts w:ascii="Times New Roman" w:hAnsi="Times New Roman" w:cs="Times New Roman"/>
          <w:sz w:val="28"/>
          <w:szCs w:val="28"/>
        </w:rPr>
        <w:t>]</w:t>
      </w:r>
      <w:r w:rsidR="005C5218" w:rsidRPr="00F148AB">
        <w:rPr>
          <w:rFonts w:ascii="Times New Roman" w:hAnsi="Times New Roman" w:cs="Times New Roman"/>
          <w:sz w:val="28"/>
          <w:szCs w:val="28"/>
        </w:rPr>
        <w:t>.</w:t>
      </w:r>
      <w:r w:rsidR="005C5218" w:rsidRPr="008B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особые требования предъявляются  к специалистам социальных служб, возрастает потребность в специалистах-универсалах, способных  оказывать качественные социальные услуги. Особое значение  приобретает максимально-эффективное использование ресурсов, в первую очередь, кадрового потенциала -  применение   оптимальных и эффективных методов управления персоналом, одним из которых и является  институт наставничества. </w:t>
      </w:r>
    </w:p>
    <w:p w:rsidR="008B1260" w:rsidRDefault="000E54BE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BE">
        <w:rPr>
          <w:rFonts w:ascii="Times New Roman" w:hAnsi="Times New Roman" w:cs="Times New Roman"/>
          <w:sz w:val="28"/>
          <w:szCs w:val="28"/>
        </w:rPr>
        <w:t xml:space="preserve">«Кадры» сегодня – это не только объект, но и цель кадровой политики, реализация которой предполагает формирование, распределение и рациональное использование квалифицированных работников. При этом особо важной является способность современных руководителей создавать благоприятные условия для преобразования </w:t>
      </w:r>
      <w:r w:rsidR="00336905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0E54BE">
        <w:rPr>
          <w:rFonts w:ascii="Times New Roman" w:hAnsi="Times New Roman" w:cs="Times New Roman"/>
          <w:sz w:val="28"/>
          <w:szCs w:val="28"/>
        </w:rPr>
        <w:t xml:space="preserve">потенциала, как совокупности возможностей, в реальный стратегический ресурс организации или отрасли </w:t>
      </w:r>
      <w:r w:rsidR="004D66E2">
        <w:rPr>
          <w:rFonts w:ascii="Times New Roman" w:hAnsi="Times New Roman" w:cs="Times New Roman"/>
          <w:sz w:val="28"/>
          <w:szCs w:val="28"/>
        </w:rPr>
        <w:t>[2</w:t>
      </w:r>
      <w:r w:rsidR="00F148AB" w:rsidRPr="00F148AB">
        <w:rPr>
          <w:rFonts w:ascii="Times New Roman" w:hAnsi="Times New Roman" w:cs="Times New Roman"/>
          <w:sz w:val="28"/>
          <w:szCs w:val="28"/>
        </w:rPr>
        <w:t>].</w:t>
      </w:r>
    </w:p>
    <w:p w:rsidR="000E54BE" w:rsidRPr="000E54BE" w:rsidRDefault="008B1260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0E54BE">
        <w:rPr>
          <w:rFonts w:ascii="Times New Roman" w:hAnsi="Times New Roman" w:cs="Times New Roman"/>
          <w:sz w:val="28"/>
          <w:szCs w:val="28"/>
        </w:rPr>
        <w:t xml:space="preserve"> эффективных методов управления персоналом является наставничество - технология, предполагающая передачу знаний, навыков и умений, трансляцию культурных ценностей организации от более квалифицированного сотрудника </w:t>
      </w:r>
      <w:proofErr w:type="gramStart"/>
      <w:r w:rsidRPr="000E54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4BE">
        <w:rPr>
          <w:rFonts w:ascii="Times New Roman" w:hAnsi="Times New Roman" w:cs="Times New Roman"/>
          <w:sz w:val="28"/>
          <w:szCs w:val="28"/>
        </w:rPr>
        <w:t xml:space="preserve"> менее квалифицированному, </w:t>
      </w:r>
      <w:r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 w:rsidRPr="003E0D1C">
        <w:rPr>
          <w:rFonts w:ascii="Times New Roman" w:hAnsi="Times New Roman" w:cs="Times New Roman"/>
          <w:sz w:val="28"/>
          <w:szCs w:val="28"/>
        </w:rPr>
        <w:t>добиться желаемого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E8D" w:rsidRPr="003E0D1C" w:rsidRDefault="000E54BE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3E0D1C">
        <w:rPr>
          <w:rFonts w:ascii="Times New Roman" w:hAnsi="Times New Roman" w:cs="Times New Roman"/>
          <w:sz w:val="28"/>
          <w:szCs w:val="28"/>
        </w:rPr>
        <w:t xml:space="preserve">БУ «Сургутский  центр социальной помощи семье и детям» </w:t>
      </w:r>
      <w:r w:rsidR="003E0D1C">
        <w:rPr>
          <w:rFonts w:ascii="Times New Roman" w:hAnsi="Times New Roman" w:cs="Times New Roman"/>
          <w:sz w:val="28"/>
          <w:szCs w:val="28"/>
        </w:rPr>
        <w:t>с</w:t>
      </w:r>
      <w:r w:rsidR="00EC4257"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075E8D" w:rsidRPr="003E0D1C">
        <w:rPr>
          <w:rFonts w:ascii="Times New Roman" w:hAnsi="Times New Roman" w:cs="Times New Roman"/>
          <w:sz w:val="28"/>
          <w:szCs w:val="28"/>
        </w:rPr>
        <w:t>2013 года внедрялся проект «Наставничество: эффективная технология развития сотрудников», с 2016 года -  технология «Обеспечение доступности качественного предоставления социальных услуг на основе развития наставничества</w:t>
      </w:r>
      <w:r w:rsidR="0070566F" w:rsidRPr="003E0D1C">
        <w:rPr>
          <w:rFonts w:ascii="Times New Roman" w:hAnsi="Times New Roman" w:cs="Times New Roman"/>
          <w:sz w:val="28"/>
          <w:szCs w:val="28"/>
        </w:rPr>
        <w:t>». Данная технология была представлена</w:t>
      </w:r>
      <w:r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075E8D" w:rsidRPr="003E0D1C">
        <w:rPr>
          <w:rFonts w:ascii="Times New Roman" w:hAnsi="Times New Roman" w:cs="Times New Roman"/>
          <w:sz w:val="28"/>
          <w:szCs w:val="28"/>
        </w:rPr>
        <w:t xml:space="preserve">на </w:t>
      </w:r>
      <w:r w:rsidRPr="003E0D1C">
        <w:rPr>
          <w:rFonts w:ascii="Times New Roman" w:hAnsi="Times New Roman" w:cs="Times New Roman"/>
          <w:sz w:val="28"/>
          <w:szCs w:val="28"/>
        </w:rPr>
        <w:t>Всероссийском ф</w:t>
      </w:r>
      <w:r w:rsidR="00075E8D" w:rsidRPr="003E0D1C">
        <w:rPr>
          <w:rFonts w:ascii="Times New Roman" w:hAnsi="Times New Roman" w:cs="Times New Roman"/>
          <w:sz w:val="28"/>
          <w:szCs w:val="28"/>
        </w:rPr>
        <w:t>оруме</w:t>
      </w:r>
      <w:r w:rsidRPr="003E0D1C">
        <w:rPr>
          <w:rFonts w:ascii="Times New Roman" w:hAnsi="Times New Roman" w:cs="Times New Roman"/>
          <w:sz w:val="28"/>
          <w:szCs w:val="28"/>
        </w:rPr>
        <w:t xml:space="preserve"> «Наставник</w:t>
      </w:r>
      <w:r w:rsidR="003E0D1C">
        <w:rPr>
          <w:rFonts w:ascii="Times New Roman" w:hAnsi="Times New Roman" w:cs="Times New Roman"/>
          <w:sz w:val="28"/>
          <w:szCs w:val="28"/>
        </w:rPr>
        <w:t xml:space="preserve">» </w:t>
      </w:r>
      <w:r w:rsidR="00336905">
        <w:rPr>
          <w:rFonts w:ascii="Times New Roman" w:hAnsi="Times New Roman" w:cs="Times New Roman"/>
          <w:sz w:val="28"/>
          <w:szCs w:val="28"/>
        </w:rPr>
        <w:t xml:space="preserve">в г. Москве </w:t>
      </w:r>
      <w:r w:rsidR="003E0D1C">
        <w:rPr>
          <w:rFonts w:ascii="Times New Roman" w:hAnsi="Times New Roman" w:cs="Times New Roman"/>
          <w:sz w:val="28"/>
          <w:szCs w:val="28"/>
        </w:rPr>
        <w:t>(</w:t>
      </w:r>
      <w:r w:rsidR="003E0D1C" w:rsidRPr="003E0D1C">
        <w:rPr>
          <w:rFonts w:ascii="Times New Roman" w:hAnsi="Times New Roman" w:cs="Times New Roman"/>
          <w:sz w:val="28"/>
          <w:szCs w:val="28"/>
        </w:rPr>
        <w:t>2018 год</w:t>
      </w:r>
      <w:r w:rsidR="003E0D1C">
        <w:rPr>
          <w:rFonts w:ascii="Times New Roman" w:hAnsi="Times New Roman" w:cs="Times New Roman"/>
          <w:sz w:val="28"/>
          <w:szCs w:val="28"/>
        </w:rPr>
        <w:t>).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D62" w:rsidRDefault="003A0BE8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</w:t>
      </w:r>
      <w:r w:rsidR="00CD1D62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обучению навыкам профессии  вновь принятых на должность специалистов </w:t>
      </w:r>
      <w:r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проводилась </w:t>
      </w:r>
      <w:r w:rsidR="001C6587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опытными сотрудниками </w:t>
      </w:r>
      <w:r w:rsidR="00CD1D62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методической учебы. Такая форма работы не всегда </w:t>
      </w:r>
      <w:proofErr w:type="gramStart"/>
      <w:r w:rsidR="00CD1D62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приносила ожидаемый результат</w:t>
      </w:r>
      <w:proofErr w:type="gramEnd"/>
      <w:r w:rsidR="00CD1D62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возникла необходимость в индивидуальном сопровождении новичков,</w:t>
      </w:r>
      <w:r w:rsidR="005A52AA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</w:t>
      </w:r>
      <w:r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>стематизации методической и прак</w:t>
      </w:r>
      <w:r w:rsidR="00EC4257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тической работы, </w:t>
      </w:r>
      <w:r w:rsidR="003A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социокультурной адаптации </w:t>
      </w:r>
      <w:r w:rsidR="003A0877" w:rsidRPr="009C6B2B">
        <w:rPr>
          <w:rFonts w:ascii="Times New Roman" w:hAnsi="Times New Roman" w:cs="Times New Roman"/>
          <w:sz w:val="28"/>
          <w:szCs w:val="28"/>
          <w:shd w:val="clear" w:color="auto" w:fill="FFFFFF"/>
        </w:rPr>
        <w:t>(рис</w:t>
      </w:r>
      <w:r w:rsidR="009C6B2B" w:rsidRPr="009C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унок </w:t>
      </w:r>
      <w:r w:rsidR="003A0877" w:rsidRPr="009C6B2B">
        <w:rPr>
          <w:rFonts w:ascii="Times New Roman" w:hAnsi="Times New Roman" w:cs="Times New Roman"/>
          <w:sz w:val="28"/>
          <w:szCs w:val="28"/>
          <w:shd w:val="clear" w:color="auto" w:fill="FFFFFF"/>
        </w:rPr>
        <w:t>1).</w:t>
      </w:r>
    </w:p>
    <w:p w:rsidR="001032B6" w:rsidRDefault="001032B6" w:rsidP="00EA0B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C6B2B">
        <w:rPr>
          <w:rFonts w:ascii="Times New Roman" w:hAnsi="Times New Roman" w:cs="Times New Roman"/>
          <w:sz w:val="28"/>
          <w:szCs w:val="28"/>
          <w:shd w:val="clear" w:color="auto" w:fill="FFFFFF"/>
        </w:rPr>
        <w:t>исунок 1</w:t>
      </w: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146050</wp:posOffset>
            </wp:positionV>
            <wp:extent cx="409321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4BE" w:rsidRPr="003E0D1C" w:rsidRDefault="00336905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Особенность </w:t>
      </w:r>
      <w:r w:rsidR="000E54B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наставничества в учреждении заключается в том, что координацию деятельности по данному направлению осуществляет Совет наставников, на заседание которого приглашаются  ветераны учреждения и представители Региональной общественной организации ветеранов отрасли </w:t>
      </w:r>
      <w:r w:rsidR="000E54B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социальной защиты г. Сургута, стоявшие у истоков становления социальной службы города </w:t>
      </w:r>
      <w:r w:rsidR="000E54BE"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Сургута (рис</w:t>
      </w:r>
      <w:r w:rsidR="009C6B2B"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унок</w:t>
      </w:r>
      <w:r w:rsidR="000E54BE"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C6B2B"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0E54BE"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1032B6" w:rsidRDefault="001032B6" w:rsidP="00EA0B6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исунок 2</w:t>
      </w: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241300</wp:posOffset>
            </wp:positionV>
            <wp:extent cx="4572000" cy="2553970"/>
            <wp:effectExtent l="0" t="0" r="0" b="0"/>
            <wp:wrapThrough wrapText="bothSides">
              <wp:wrapPolygon edited="0">
                <wp:start x="540" y="0"/>
                <wp:lineTo x="0" y="644"/>
                <wp:lineTo x="0" y="20784"/>
                <wp:lineTo x="360" y="21428"/>
                <wp:lineTo x="450" y="21428"/>
                <wp:lineTo x="21060" y="21428"/>
                <wp:lineTo x="21150" y="21428"/>
                <wp:lineTo x="21510" y="20784"/>
                <wp:lineTo x="21510" y="483"/>
                <wp:lineTo x="20880" y="0"/>
                <wp:lineTo x="540" y="0"/>
              </wp:wrapPolygon>
            </wp:wrapThrough>
            <wp:docPr id="3" name="Рисунок 13" descr="C:\Users\malinina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malinina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32B6" w:rsidRDefault="001032B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54BE" w:rsidRPr="003E0D1C" w:rsidRDefault="000E54BE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 наставников оказывает методическую и практическую помощь самим наставникам, обобщает положительный опыт их работы, ходатайствует о поощрении наставников.</w:t>
      </w:r>
    </w:p>
    <w:p w:rsidR="003E0D1C" w:rsidRPr="003E0D1C" w:rsidRDefault="003E0D1C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1C">
        <w:rPr>
          <w:rFonts w:ascii="Times New Roman" w:hAnsi="Times New Roman" w:cs="Times New Roman"/>
          <w:sz w:val="28"/>
          <w:szCs w:val="28"/>
        </w:rPr>
        <w:t>Безусловно, ключевой фигурой всего процесса является наставник и именно от него в большей или равной степени зависит качественный исход подготовки.</w:t>
      </w:r>
    </w:p>
    <w:p w:rsidR="003E0D1C" w:rsidRPr="003E0D1C" w:rsidRDefault="003E0D1C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1C">
        <w:rPr>
          <w:rFonts w:ascii="Times New Roman" w:hAnsi="Times New Roman" w:cs="Times New Roman"/>
          <w:sz w:val="28"/>
          <w:szCs w:val="28"/>
        </w:rPr>
        <w:t xml:space="preserve">В целях достижения поставленной цели к наставнику необходимо предъявлять определенные критерии. К примеру: замещение им должности на один-два уровня выше своего наставляемого, профессиональная компетентность в соответствующей сфере деятельности,  стабильные результаты служебной деятельности, авторитет в коллективе, желание и способности к обучению и воспитательной работе, коммуникативные навыки и другие. </w:t>
      </w:r>
    </w:p>
    <w:p w:rsidR="003E0D1C" w:rsidRPr="003E0D1C" w:rsidRDefault="00E44C6A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зависимости от совокупности обстоятельств, наставник </w:t>
      </w:r>
      <w:r w:rsidR="003A0877">
        <w:rPr>
          <w:rFonts w:ascii="Times New Roman" w:hAnsi="Times New Roman" w:cs="Times New Roman"/>
          <w:sz w:val="28"/>
          <w:szCs w:val="28"/>
        </w:rPr>
        <w:t>определяет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уровень компетентности наставляемого и потребность в обучении в конкретных областях, ег</w:t>
      </w:r>
      <w:r w:rsidR="003A0877">
        <w:rPr>
          <w:rFonts w:ascii="Times New Roman" w:hAnsi="Times New Roman" w:cs="Times New Roman"/>
          <w:sz w:val="28"/>
          <w:szCs w:val="28"/>
        </w:rPr>
        <w:t>о способности к обучению, учитывает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индивидуальную и профессиональную мотивацию, пол и возраст наставляемого, опред</w:t>
      </w:r>
      <w:r w:rsidR="009C6B2B">
        <w:rPr>
          <w:rFonts w:ascii="Times New Roman" w:hAnsi="Times New Roman" w:cs="Times New Roman"/>
          <w:sz w:val="28"/>
          <w:szCs w:val="28"/>
        </w:rPr>
        <w:t>еляет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особенности структуры личности, имеющие значение для адаптации в коллективе </w:t>
      </w:r>
      <w:r w:rsidR="003E0D1C" w:rsidRPr="003E0D1C">
        <w:rPr>
          <w:rFonts w:ascii="Times New Roman" w:hAnsi="Times New Roman" w:cs="Times New Roman"/>
          <w:sz w:val="28"/>
          <w:szCs w:val="28"/>
        </w:rPr>
        <w:lastRenderedPageBreak/>
        <w:t>и в рабочем процессе</w:t>
      </w:r>
      <w:r w:rsidR="007832CC">
        <w:rPr>
          <w:rFonts w:ascii="Times New Roman" w:hAnsi="Times New Roman" w:cs="Times New Roman"/>
          <w:sz w:val="28"/>
          <w:szCs w:val="28"/>
        </w:rPr>
        <w:t>.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B0A" w:rsidRPr="003E0D1C">
        <w:rPr>
          <w:rFonts w:ascii="Times New Roman" w:hAnsi="Times New Roman" w:cs="Times New Roman"/>
          <w:sz w:val="28"/>
          <w:szCs w:val="28"/>
        </w:rPr>
        <w:t>В</w:t>
      </w:r>
      <w:r w:rsidR="003E0D1C" w:rsidRPr="003E0D1C">
        <w:rPr>
          <w:rFonts w:ascii="Times New Roman" w:hAnsi="Times New Roman" w:cs="Times New Roman"/>
          <w:sz w:val="28"/>
          <w:szCs w:val="28"/>
        </w:rPr>
        <w:t>ыб</w:t>
      </w:r>
      <w:r w:rsidR="00A65B0A">
        <w:rPr>
          <w:rFonts w:ascii="Times New Roman" w:hAnsi="Times New Roman" w:cs="Times New Roman"/>
          <w:sz w:val="28"/>
          <w:szCs w:val="28"/>
        </w:rPr>
        <w:t>о</w:t>
      </w:r>
      <w:r w:rsidR="003E0D1C" w:rsidRPr="003E0D1C">
        <w:rPr>
          <w:rFonts w:ascii="Times New Roman" w:hAnsi="Times New Roman" w:cs="Times New Roman"/>
          <w:sz w:val="28"/>
          <w:szCs w:val="28"/>
        </w:rPr>
        <w:t>р</w:t>
      </w:r>
      <w:r w:rsidR="00A65B0A">
        <w:rPr>
          <w:rFonts w:ascii="Times New Roman" w:hAnsi="Times New Roman" w:cs="Times New Roman"/>
          <w:sz w:val="28"/>
          <w:szCs w:val="28"/>
        </w:rPr>
        <w:t xml:space="preserve"> 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A65B0A">
        <w:rPr>
          <w:rFonts w:ascii="Times New Roman" w:hAnsi="Times New Roman" w:cs="Times New Roman"/>
          <w:sz w:val="28"/>
          <w:szCs w:val="28"/>
        </w:rPr>
        <w:t>ого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стил</w:t>
      </w:r>
      <w:r w:rsidR="00A65B0A">
        <w:rPr>
          <w:rFonts w:ascii="Times New Roman" w:hAnsi="Times New Roman" w:cs="Times New Roman"/>
          <w:sz w:val="28"/>
          <w:szCs w:val="28"/>
        </w:rPr>
        <w:t>я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взаимоотношений с наставляемым и эффективные способы и модели обучения и развития его профессиональных навыков и качеств </w:t>
      </w:r>
      <w:r w:rsidR="003E0D1C" w:rsidRPr="003E0D1C">
        <w:rPr>
          <w:rFonts w:ascii="Times New Roman" w:hAnsi="Times New Roman" w:cs="Times New Roman"/>
          <w:i/>
          <w:sz w:val="28"/>
          <w:szCs w:val="28"/>
        </w:rPr>
        <w:t>(пример:</w:t>
      </w:r>
      <w:proofErr w:type="gramEnd"/>
      <w:r w:rsidR="003E0D1C" w:rsidRPr="003E0D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3E0D1C" w:rsidRPr="003E0D1C">
        <w:rPr>
          <w:rFonts w:ascii="Times New Roman" w:eastAsia="Calibri" w:hAnsi="Times New Roman" w:cs="Times New Roman"/>
          <w:i/>
          <w:sz w:val="28"/>
          <w:szCs w:val="28"/>
        </w:rPr>
        <w:t>«Я расскажу, ты послушай», «Сделаем вместе», «Сделай сам и объясни, почему так»)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9C6B2B">
        <w:rPr>
          <w:rFonts w:ascii="Times New Roman" w:hAnsi="Times New Roman" w:cs="Times New Roman"/>
          <w:sz w:val="28"/>
          <w:szCs w:val="28"/>
        </w:rPr>
        <w:t>ет</w:t>
      </w:r>
      <w:r w:rsidR="00A65B0A">
        <w:rPr>
          <w:rFonts w:ascii="Times New Roman" w:hAnsi="Times New Roman" w:cs="Times New Roman"/>
          <w:sz w:val="28"/>
          <w:szCs w:val="28"/>
        </w:rPr>
        <w:t xml:space="preserve"> наставнику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не только оценива</w:t>
      </w:r>
      <w:r w:rsidR="00A65B0A">
        <w:rPr>
          <w:rFonts w:ascii="Times New Roman" w:hAnsi="Times New Roman" w:cs="Times New Roman"/>
          <w:sz w:val="28"/>
          <w:szCs w:val="28"/>
        </w:rPr>
        <w:t>ть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A65B0A" w:rsidRPr="003E0D1C"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от случая к случаю, </w:t>
      </w:r>
      <w:r w:rsidR="00A65B0A">
        <w:rPr>
          <w:rFonts w:ascii="Times New Roman" w:hAnsi="Times New Roman" w:cs="Times New Roman"/>
          <w:sz w:val="28"/>
          <w:szCs w:val="28"/>
        </w:rPr>
        <w:t xml:space="preserve">но и развивает </w:t>
      </w:r>
      <w:r w:rsidR="003E0D1C" w:rsidRPr="003E0D1C">
        <w:rPr>
          <w:rFonts w:ascii="Times New Roman" w:hAnsi="Times New Roman" w:cs="Times New Roman"/>
          <w:sz w:val="28"/>
          <w:szCs w:val="28"/>
        </w:rPr>
        <w:t>способ</w:t>
      </w:r>
      <w:r w:rsidR="00A65B0A">
        <w:rPr>
          <w:rFonts w:ascii="Times New Roman" w:hAnsi="Times New Roman" w:cs="Times New Roman"/>
          <w:sz w:val="28"/>
          <w:szCs w:val="28"/>
        </w:rPr>
        <w:t>ность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A65B0A">
        <w:rPr>
          <w:rFonts w:ascii="Times New Roman" w:hAnsi="Times New Roman" w:cs="Times New Roman"/>
          <w:sz w:val="28"/>
          <w:szCs w:val="28"/>
        </w:rPr>
        <w:t>воспринимать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 w:rsidR="00A65B0A">
        <w:rPr>
          <w:rFonts w:ascii="Times New Roman" w:hAnsi="Times New Roman" w:cs="Times New Roman"/>
          <w:sz w:val="28"/>
          <w:szCs w:val="28"/>
        </w:rPr>
        <w:t>ую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A65B0A">
        <w:rPr>
          <w:rFonts w:ascii="Times New Roman" w:hAnsi="Times New Roman" w:cs="Times New Roman"/>
          <w:sz w:val="28"/>
          <w:szCs w:val="28"/>
        </w:rPr>
        <w:t>у</w:t>
      </w:r>
      <w:r w:rsidR="003E0D1C" w:rsidRPr="003E0D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Иными словами наставник должен знать и понимать особенности обучения и уметь обучать взрослых людей.</w:t>
      </w:r>
      <w:r w:rsidR="003B1B56">
        <w:rPr>
          <w:rFonts w:ascii="Times New Roman" w:hAnsi="Times New Roman" w:cs="Times New Roman"/>
          <w:sz w:val="28"/>
          <w:szCs w:val="28"/>
        </w:rPr>
        <w:t xml:space="preserve"> Его </w:t>
      </w:r>
      <w:r w:rsidR="003B1B56" w:rsidRPr="003E0D1C">
        <w:rPr>
          <w:rFonts w:ascii="Times New Roman" w:hAnsi="Times New Roman" w:cs="Times New Roman"/>
          <w:sz w:val="28"/>
          <w:szCs w:val="28"/>
        </w:rPr>
        <w:t>необходимо воспитывать, развивать, предлагать инструменты, которые помогут ему эффективно реализовать свою функцию.</w:t>
      </w:r>
    </w:p>
    <w:p w:rsidR="003E0D1C" w:rsidRDefault="003B1B56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БУ «Сургутский центр социальной помощи семье и детям» в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помощь наставникам разработаны методические рекомендации по организации работы наставников, в которых перечислены методы и  типы наставничества, рекомендации для наставника, </w:t>
      </w:r>
      <w:r w:rsidR="003E0D1C" w:rsidRPr="003B1B56">
        <w:rPr>
          <w:rFonts w:ascii="Times New Roman" w:hAnsi="Times New Roman" w:cs="Times New Roman"/>
          <w:sz w:val="28"/>
          <w:szCs w:val="28"/>
        </w:rPr>
        <w:t>кодекс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="00E60D68">
        <w:rPr>
          <w:rFonts w:ascii="Times New Roman" w:hAnsi="Times New Roman" w:cs="Times New Roman"/>
          <w:sz w:val="28"/>
          <w:szCs w:val="28"/>
        </w:rPr>
        <w:t xml:space="preserve">; </w:t>
      </w:r>
      <w:r w:rsidR="003E0D1C" w:rsidRPr="003E0D1C">
        <w:rPr>
          <w:rFonts w:ascii="Times New Roman" w:hAnsi="Times New Roman" w:cs="Times New Roman"/>
          <w:sz w:val="28"/>
          <w:szCs w:val="28"/>
        </w:rPr>
        <w:t>организова</w:t>
      </w:r>
      <w:r w:rsidR="00E60D68">
        <w:rPr>
          <w:rFonts w:ascii="Times New Roman" w:hAnsi="Times New Roman" w:cs="Times New Roman"/>
          <w:sz w:val="28"/>
          <w:szCs w:val="28"/>
        </w:rPr>
        <w:t>но</w:t>
      </w:r>
      <w:r w:rsidR="003E0D1C" w:rsidRPr="003E0D1C">
        <w:rPr>
          <w:rFonts w:ascii="Times New Roman" w:hAnsi="Times New Roman" w:cs="Times New Roman"/>
          <w:sz w:val="28"/>
          <w:szCs w:val="28"/>
        </w:rPr>
        <w:t xml:space="preserve"> совместное обучение должностных лиц, ответственных за организационное и документационное сопровождение процесса наставничества и наставников основным подходам, эффективным методам и приемам наставничества.</w:t>
      </w:r>
      <w:r w:rsidR="003E0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892" w:rsidRDefault="003E0D1C" w:rsidP="00B1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1C">
        <w:rPr>
          <w:rFonts w:ascii="Times New Roman" w:hAnsi="Times New Roman" w:cs="Times New Roman"/>
          <w:sz w:val="28"/>
          <w:szCs w:val="28"/>
        </w:rPr>
        <w:t>Объективн</w:t>
      </w:r>
      <w:r w:rsidR="00E60D68">
        <w:rPr>
          <w:rFonts w:ascii="Times New Roman" w:hAnsi="Times New Roman" w:cs="Times New Roman"/>
          <w:sz w:val="28"/>
          <w:szCs w:val="28"/>
        </w:rPr>
        <w:t>ая</w:t>
      </w:r>
      <w:r w:rsidRPr="003E0D1C">
        <w:rPr>
          <w:rFonts w:ascii="Times New Roman" w:hAnsi="Times New Roman" w:cs="Times New Roman"/>
          <w:sz w:val="28"/>
          <w:szCs w:val="28"/>
        </w:rPr>
        <w:t xml:space="preserve"> оцен</w:t>
      </w:r>
      <w:r w:rsidR="00E60D68">
        <w:rPr>
          <w:rFonts w:ascii="Times New Roman" w:hAnsi="Times New Roman" w:cs="Times New Roman"/>
          <w:sz w:val="28"/>
          <w:szCs w:val="28"/>
        </w:rPr>
        <w:t>ка</w:t>
      </w:r>
      <w:r w:rsidRPr="003E0D1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E60D68">
        <w:rPr>
          <w:rFonts w:ascii="Times New Roman" w:hAnsi="Times New Roman" w:cs="Times New Roman"/>
          <w:sz w:val="28"/>
          <w:szCs w:val="28"/>
        </w:rPr>
        <w:t>и</w:t>
      </w:r>
      <w:r w:rsidRPr="003E0D1C">
        <w:rPr>
          <w:rFonts w:ascii="Times New Roman" w:hAnsi="Times New Roman" w:cs="Times New Roman"/>
          <w:sz w:val="28"/>
          <w:szCs w:val="28"/>
        </w:rPr>
        <w:t xml:space="preserve"> работы наставника достаточно сложн</w:t>
      </w:r>
      <w:r w:rsidR="00E60D68">
        <w:rPr>
          <w:rFonts w:ascii="Times New Roman" w:hAnsi="Times New Roman" w:cs="Times New Roman"/>
          <w:sz w:val="28"/>
          <w:szCs w:val="28"/>
        </w:rPr>
        <w:t>а:</w:t>
      </w:r>
      <w:r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E60D68">
        <w:rPr>
          <w:rFonts w:ascii="Times New Roman" w:hAnsi="Times New Roman" w:cs="Times New Roman"/>
          <w:sz w:val="28"/>
          <w:szCs w:val="28"/>
        </w:rPr>
        <w:t>н</w:t>
      </w:r>
      <w:r w:rsidRPr="003E0D1C">
        <w:rPr>
          <w:rFonts w:ascii="Times New Roman" w:hAnsi="Times New Roman" w:cs="Times New Roman"/>
          <w:sz w:val="28"/>
          <w:szCs w:val="28"/>
        </w:rPr>
        <w:t>еобходимо устанавливать формальные и иные критерии, позволяющие говорить о качестве работы наставника</w:t>
      </w:r>
      <w:r w:rsidR="00E60D68">
        <w:rPr>
          <w:rFonts w:ascii="Times New Roman" w:hAnsi="Times New Roman" w:cs="Times New Roman"/>
          <w:sz w:val="28"/>
          <w:szCs w:val="28"/>
        </w:rPr>
        <w:t>;</w:t>
      </w:r>
      <w:r w:rsidRPr="003E0D1C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E60D68">
        <w:rPr>
          <w:rFonts w:ascii="Times New Roman" w:hAnsi="Times New Roman" w:cs="Times New Roman"/>
          <w:sz w:val="28"/>
          <w:szCs w:val="28"/>
        </w:rPr>
        <w:t>ется</w:t>
      </w:r>
      <w:r w:rsidRPr="003E0D1C">
        <w:rPr>
          <w:rFonts w:ascii="Times New Roman" w:hAnsi="Times New Roman" w:cs="Times New Roman"/>
          <w:sz w:val="28"/>
          <w:szCs w:val="28"/>
        </w:rPr>
        <w:t xml:space="preserve"> не только  успешность наставляемого в результате подготовки, но и прилагаемые усилия со стороны наставника по достижению цели вне зависимости от успешности наставляемого.</w:t>
      </w:r>
      <w:r w:rsidR="00E60D68">
        <w:rPr>
          <w:rFonts w:ascii="Times New Roman" w:hAnsi="Times New Roman" w:cs="Times New Roman"/>
          <w:sz w:val="28"/>
          <w:szCs w:val="28"/>
        </w:rPr>
        <w:t xml:space="preserve"> </w:t>
      </w:r>
      <w:r w:rsidRPr="003E0D1C">
        <w:rPr>
          <w:rFonts w:ascii="Times New Roman" w:hAnsi="Times New Roman" w:cs="Times New Roman"/>
          <w:sz w:val="28"/>
          <w:szCs w:val="28"/>
        </w:rPr>
        <w:t xml:space="preserve">С недавнего времени </w:t>
      </w:r>
      <w:r w:rsidR="00336905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3E0D1C">
        <w:rPr>
          <w:rFonts w:ascii="Times New Roman" w:hAnsi="Times New Roman" w:cs="Times New Roman"/>
          <w:sz w:val="28"/>
          <w:szCs w:val="28"/>
        </w:rPr>
        <w:t>пров</w:t>
      </w:r>
      <w:r w:rsidR="00336905">
        <w:rPr>
          <w:rFonts w:ascii="Times New Roman" w:hAnsi="Times New Roman" w:cs="Times New Roman"/>
          <w:sz w:val="28"/>
          <w:szCs w:val="28"/>
        </w:rPr>
        <w:t>о</w:t>
      </w:r>
      <w:r w:rsidRPr="003E0D1C">
        <w:rPr>
          <w:rFonts w:ascii="Times New Roman" w:hAnsi="Times New Roman" w:cs="Times New Roman"/>
          <w:sz w:val="28"/>
          <w:szCs w:val="28"/>
        </w:rPr>
        <w:t xml:space="preserve">дится  анкетирование </w:t>
      </w:r>
      <w:proofErr w:type="gramStart"/>
      <w:r w:rsidRPr="003E0D1C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3E0D1C">
        <w:rPr>
          <w:rFonts w:ascii="Times New Roman" w:hAnsi="Times New Roman" w:cs="Times New Roman"/>
          <w:sz w:val="28"/>
          <w:szCs w:val="28"/>
        </w:rPr>
        <w:t>, чтобы оцен</w:t>
      </w:r>
      <w:r w:rsidR="00E60D68">
        <w:rPr>
          <w:rFonts w:ascii="Times New Roman" w:hAnsi="Times New Roman" w:cs="Times New Roman"/>
          <w:sz w:val="28"/>
          <w:szCs w:val="28"/>
        </w:rPr>
        <w:t>ить качество работы наставника.</w:t>
      </w:r>
      <w:r w:rsidR="00B1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1C" w:rsidRPr="003E0D1C" w:rsidRDefault="00B12892" w:rsidP="00B12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Формы материального и морального стимулирования  способствуют, с одной стороны, </w:t>
      </w:r>
      <w:r w:rsidRPr="003E0D1C">
        <w:rPr>
          <w:rFonts w:ascii="Times New Roman" w:hAnsi="Times New Roman" w:cs="Times New Roman"/>
          <w:spacing w:val="-1"/>
          <w:sz w:val="28"/>
          <w:szCs w:val="28"/>
        </w:rPr>
        <w:t xml:space="preserve">повышению статуса наставника, с другой - мотивирует сотрудников </w:t>
      </w:r>
      <w:proofErr w:type="gramStart"/>
      <w:r w:rsidRPr="003E0D1C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proofErr w:type="gramEnd"/>
      <w:r w:rsidRPr="003E0D1C">
        <w:rPr>
          <w:rFonts w:ascii="Times New Roman" w:hAnsi="Times New Roman" w:cs="Times New Roman"/>
          <w:spacing w:val="-1"/>
          <w:sz w:val="28"/>
          <w:szCs w:val="28"/>
        </w:rPr>
        <w:t xml:space="preserve"> на качественное исполнение  возложенных на них обязанностей.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E0D1C" w:rsidRPr="003E0D1C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3E0D1C" w:rsidRPr="003E0D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работы наставника учитываются при установлении </w:t>
      </w:r>
      <w:r w:rsidR="003E0D1C" w:rsidRPr="003E0D1C">
        <w:rPr>
          <w:rFonts w:ascii="Times New Roman" w:eastAsia="Calibri" w:hAnsi="Times New Roman" w:cs="Times New Roman"/>
          <w:sz w:val="28"/>
          <w:szCs w:val="28"/>
        </w:rPr>
        <w:t>стимулирующих выплат,</w:t>
      </w:r>
      <w:r w:rsidR="003E0D1C" w:rsidRPr="003E0D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занесени</w:t>
      </w:r>
      <w:r w:rsidR="003E0D1C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3E0D1C" w:rsidRPr="003E0D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Доску почета учреждения, награждени</w:t>
      </w:r>
      <w:r w:rsidR="003E0D1C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3E0D1C" w:rsidRPr="003E0D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Благодарностью или Почетной грамотой Учреждения.</w:t>
      </w:r>
    </w:p>
    <w:p w:rsidR="00B71B57" w:rsidRDefault="00B12892" w:rsidP="00EA0B6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</w:t>
      </w:r>
      <w:r w:rsidR="0070566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период реализации </w:t>
      </w:r>
      <w:r w:rsidR="0072527F" w:rsidRPr="003E0D1C">
        <w:rPr>
          <w:rFonts w:ascii="Times New Roman" w:hAnsi="Times New Roman" w:cs="Times New Roman"/>
          <w:sz w:val="28"/>
          <w:szCs w:val="28"/>
        </w:rPr>
        <w:t>технологи</w:t>
      </w:r>
      <w:r w:rsidR="0072527F">
        <w:rPr>
          <w:rFonts w:ascii="Times New Roman" w:hAnsi="Times New Roman" w:cs="Times New Roman"/>
          <w:sz w:val="28"/>
          <w:szCs w:val="28"/>
        </w:rPr>
        <w:t>и</w:t>
      </w:r>
      <w:r w:rsidR="0072527F" w:rsidRPr="003E0D1C">
        <w:rPr>
          <w:rFonts w:ascii="Times New Roman" w:hAnsi="Times New Roman" w:cs="Times New Roman"/>
          <w:sz w:val="28"/>
          <w:szCs w:val="28"/>
        </w:rPr>
        <w:t xml:space="preserve"> «Обеспечение доступности качественного предоставления социальных услуг на основе развития наставничества</w:t>
      </w:r>
      <w:r w:rsidR="00B71B57">
        <w:rPr>
          <w:rFonts w:ascii="Times New Roman" w:hAnsi="Times New Roman" w:cs="Times New Roman"/>
          <w:sz w:val="28"/>
          <w:szCs w:val="28"/>
        </w:rPr>
        <w:t xml:space="preserve"> в БУ «Сургутский центр социальной помощи семье и детям</w:t>
      </w:r>
      <w:r w:rsidR="0072527F" w:rsidRPr="003E0D1C">
        <w:rPr>
          <w:rFonts w:ascii="Times New Roman" w:hAnsi="Times New Roman" w:cs="Times New Roman"/>
          <w:sz w:val="28"/>
          <w:szCs w:val="28"/>
        </w:rPr>
        <w:t>»</w:t>
      </w:r>
      <w:r w:rsidR="00B71B57">
        <w:rPr>
          <w:rFonts w:ascii="Times New Roman" w:hAnsi="Times New Roman" w:cs="Times New Roman"/>
          <w:sz w:val="28"/>
          <w:szCs w:val="28"/>
        </w:rPr>
        <w:t>:</w:t>
      </w:r>
    </w:p>
    <w:p w:rsidR="008E3670" w:rsidRPr="003E0D1C" w:rsidRDefault="00B71B57" w:rsidP="00EA0B6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27F" w:rsidRPr="003E0D1C">
        <w:rPr>
          <w:rFonts w:ascii="Times New Roman" w:hAnsi="Times New Roman" w:cs="Times New Roman"/>
          <w:sz w:val="28"/>
          <w:szCs w:val="28"/>
        </w:rPr>
        <w:t xml:space="preserve"> 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сформирована </w:t>
      </w:r>
      <w:r w:rsidR="009F523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F523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норматино</w:t>
      </w:r>
      <w:proofErr w:type="spellEnd"/>
      <w:r w:rsidR="009F523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-правовая база наст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9F523E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вничества</w:t>
      </w:r>
      <w:r w:rsidR="0003052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22FAA" w:rsidRPr="003E0D1C" w:rsidRDefault="00336905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</w:t>
      </w:r>
      <w:r w:rsidR="00392760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ено </w:t>
      </w:r>
      <w:r w:rsidR="0070566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66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настав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ляемых, из них </w:t>
      </w:r>
      <w:r w:rsidR="0070566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52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впервые принятых на работу, </w:t>
      </w:r>
      <w:r w:rsidR="0070566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="00E60D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переведенных на другую должность, 4 молодых специалиста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32457" w:rsidRPr="003E0D1C" w:rsidRDefault="00336905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F22F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</w:t>
      </w:r>
      <w:r w:rsidR="00A32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 система мотивации наставников;</w:t>
      </w:r>
    </w:p>
    <w:p w:rsidR="00B71B57" w:rsidRDefault="00336905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66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разработаны показатели </w:t>
      </w:r>
      <w:r w:rsidR="007156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 эффективности наставничества</w:t>
      </w:r>
      <w:r w:rsidR="00E6267E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6267E" w:rsidRDefault="00E6267E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156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исполнение запланированных мероприятий Индивидуального плана обучения составляет в среднем 98 %;</w:t>
      </w:r>
      <w:r w:rsidR="00A32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6267E" w:rsidRDefault="00E6267E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156AA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успешное прохождение аттестации на соответствие занимаемой должности 98%;</w:t>
      </w:r>
      <w:r w:rsidR="00A32457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6267E" w:rsidRDefault="007156A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81% наставляемых проработали в учреждении более 3 лет;</w:t>
      </w:r>
      <w:r w:rsidR="00336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E0D1C" w:rsidRDefault="00EB48F6" w:rsidP="004D66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37% наставляемых получили поощрения, положительные отзывы </w:t>
      </w:r>
      <w:r w:rsidR="00B02A9F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получателей социальных услуг</w:t>
      </w:r>
      <w:r w:rsidR="00AB6160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(рис</w:t>
      </w:r>
      <w:r w:rsidR="0033690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унок</w:t>
      </w:r>
      <w:r w:rsidR="00AB6160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AB6160"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AB6160" w:rsidRPr="003E0D1C" w:rsidRDefault="00AB6160" w:rsidP="00EA0B6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Рисунок </w:t>
      </w:r>
      <w:r w:rsidR="009C6B2B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</w:p>
    <w:p w:rsidR="00FD3EFE" w:rsidRPr="003E0D1C" w:rsidRDefault="00AB6160" w:rsidP="00EA0B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D1C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1905</wp:posOffset>
            </wp:positionV>
            <wp:extent cx="3935095" cy="2469515"/>
            <wp:effectExtent l="19050" t="0" r="8255" b="0"/>
            <wp:wrapThrough wrapText="bothSides">
              <wp:wrapPolygon edited="0">
                <wp:start x="1778" y="1166"/>
                <wp:lineTo x="1778" y="2499"/>
                <wp:lineTo x="6483" y="3832"/>
                <wp:lineTo x="10770" y="3832"/>
                <wp:lineTo x="2510" y="4665"/>
                <wp:lineTo x="1882" y="4832"/>
                <wp:lineTo x="1882" y="8998"/>
                <wp:lineTo x="-105" y="9498"/>
                <wp:lineTo x="-105" y="12497"/>
                <wp:lineTo x="627" y="14496"/>
                <wp:lineTo x="-105" y="15996"/>
                <wp:lineTo x="-105" y="18828"/>
                <wp:lineTo x="209" y="19828"/>
                <wp:lineTo x="732" y="19828"/>
                <wp:lineTo x="732" y="20661"/>
                <wp:lineTo x="4915" y="21161"/>
                <wp:lineTo x="10352" y="21161"/>
                <wp:lineTo x="10875" y="21161"/>
                <wp:lineTo x="16417" y="21161"/>
                <wp:lineTo x="20600" y="20661"/>
                <wp:lineTo x="20495" y="19828"/>
                <wp:lineTo x="20913" y="19828"/>
                <wp:lineTo x="21541" y="18162"/>
                <wp:lineTo x="21541" y="16662"/>
                <wp:lineTo x="21227" y="15829"/>
                <wp:lineTo x="20391" y="14496"/>
                <wp:lineTo x="21018" y="14496"/>
                <wp:lineTo x="21645" y="13163"/>
                <wp:lineTo x="21645" y="4665"/>
                <wp:lineTo x="10770" y="3832"/>
                <wp:lineTo x="19972" y="2666"/>
                <wp:lineTo x="19868" y="1333"/>
                <wp:lineTo x="2928" y="1166"/>
                <wp:lineTo x="1778" y="1166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0432" cy="5472608"/>
                      <a:chOff x="395536" y="476672"/>
                      <a:chExt cx="8460432" cy="547260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827584" y="476672"/>
                        <a:ext cx="7643192" cy="93610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 spc="-100" baseline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Ключевые  показатели практики</a:t>
                          </a:r>
                          <a:endParaRPr lang="ru-RU" b="1" dirty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Горизонтальный свиток 24"/>
                      <a:cNvSpPr/>
                    </a:nvSpPr>
                    <a:spPr>
                      <a:xfrm>
                        <a:off x="1259632" y="1628800"/>
                        <a:ext cx="4104456" cy="1224136"/>
                      </a:xfrm>
                      <a:prstGeom prst="horizontalScrol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/>
                            <a:t>2013-2018</a:t>
                          </a:r>
                          <a:endParaRPr lang="ru-RU" sz="32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Табличка 27"/>
                      <a:cNvSpPr/>
                    </a:nvSpPr>
                    <a:spPr>
                      <a:xfrm>
                        <a:off x="395536" y="4365104"/>
                        <a:ext cx="8352928" cy="1584176"/>
                      </a:xfrm>
                      <a:prstGeom prst="plaque">
                        <a:avLst>
                          <a:gd name="adj" fmla="val 27057"/>
                        </a:avLst>
                      </a:prstGeom>
                      <a:solidFill>
                        <a:schemeClr val="accent1">
                          <a:tint val="66000"/>
                          <a:satMod val="160000"/>
                        </a:schemeClr>
                      </a:solidFill>
                      <a:ln>
                        <a:noFill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800" dirty="0" smtClean="0"/>
                        </a:p>
                        <a:p>
                          <a:pPr algn="ctr"/>
                          <a:r>
                            <a:rPr lang="ru-RU" sz="2800" dirty="0" smtClean="0"/>
                            <a:t>52   </a:t>
                          </a:r>
                          <a:r>
                            <a:rPr lang="ru-RU" sz="2800" dirty="0" smtClean="0"/>
                            <a:t>впервые принятых на работу;</a:t>
                          </a:r>
                        </a:p>
                        <a:p>
                          <a:pPr algn="ctr"/>
                          <a:r>
                            <a:rPr lang="ru-RU" sz="2800" dirty="0" smtClean="0"/>
                            <a:t> </a:t>
                          </a:r>
                          <a:r>
                            <a:rPr lang="ru-RU" sz="2800" dirty="0" smtClean="0"/>
                            <a:t>10  </a:t>
                          </a:r>
                          <a:r>
                            <a:rPr lang="ru-RU" sz="2800" dirty="0" smtClean="0"/>
                            <a:t>переведенных на другую должность;</a:t>
                          </a:r>
                        </a:p>
                        <a:p>
                          <a:pPr algn="ctr"/>
                          <a:r>
                            <a:rPr lang="ru-RU" sz="2800" dirty="0" smtClean="0"/>
                            <a:t> </a:t>
                          </a:r>
                          <a:r>
                            <a:rPr lang="ru-RU" sz="2800" dirty="0" smtClean="0"/>
                            <a:t>4 </a:t>
                          </a:r>
                          <a:r>
                            <a:rPr lang="ru-RU" sz="2800" dirty="0" smtClean="0"/>
                            <a:t>молодых специалиста</a:t>
                          </a:r>
                        </a:p>
                        <a:p>
                          <a:pPr algn="ctr"/>
                          <a:r>
                            <a:rPr lang="ru-RU" sz="2800" dirty="0" smtClean="0"/>
                            <a:t>.</a:t>
                          </a:r>
                          <a:endParaRPr lang="ru-RU" sz="28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4" name="Содержимое 13" descr="C:\Users\malinina\Desktop\наставники.jpg"/>
                      <a:cNvPicPr>
                        <a:picLocks noGrp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00192" y="1772816"/>
                        <a:ext cx="2555776" cy="22593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7" name="Пятиугольник 16"/>
                      <a:cNvSpPr/>
                    </a:nvSpPr>
                    <a:spPr>
                      <a:xfrm>
                        <a:off x="467544" y="3068960"/>
                        <a:ext cx="2880320" cy="844672"/>
                      </a:xfrm>
                      <a:prstGeom prst="homePlat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400" b="1" dirty="0" smtClean="0"/>
                        </a:p>
                        <a:p>
                          <a:pPr algn="ctr"/>
                          <a:r>
                            <a:rPr lang="ru-RU" sz="2400" b="1" dirty="0" smtClean="0"/>
                            <a:t>41</a:t>
                          </a:r>
                          <a:endParaRPr lang="ru-RU" sz="2400" b="1" dirty="0" smtClean="0"/>
                        </a:p>
                        <a:p>
                          <a:pPr algn="ctr"/>
                          <a:r>
                            <a:rPr lang="ru-RU" sz="2400" b="1" dirty="0" smtClean="0"/>
                            <a:t> наставник</a:t>
                          </a:r>
                        </a:p>
                        <a:p>
                          <a:pPr algn="ctr"/>
                          <a:endParaRPr lang="ru-RU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ятиугольник 8"/>
                      <a:cNvSpPr/>
                    </a:nvSpPr>
                    <a:spPr>
                      <a:xfrm flipH="1">
                        <a:off x="3347864" y="3068960"/>
                        <a:ext cx="2808312" cy="864096"/>
                      </a:xfrm>
                      <a:prstGeom prst="homePlate">
                        <a:avLst>
                          <a:gd name="adj" fmla="val 40199"/>
                        </a:avLst>
                      </a:prstGeom>
                    </a:spPr>
                    <a:txSp>
                      <a:txBody>
                        <a:bodyPr wrap="square" rtlCol="0" anchor="ctr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66</a:t>
                          </a:r>
                        </a:p>
                        <a:p>
                          <a:pPr algn="ctr"/>
                          <a:r>
                            <a:rPr lang="ru-RU" sz="2400" b="1" dirty="0" smtClean="0"/>
                            <a:t>наставляемых</a:t>
                          </a:r>
                          <a:endParaRPr lang="ru-RU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60AF8" w:rsidRDefault="00E60AF8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C6A" w:rsidRDefault="00E44C6A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56E1" w:rsidRPr="003E0D1C" w:rsidRDefault="005B3F9D" w:rsidP="00EA0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б</w:t>
      </w:r>
      <w:r w:rsidR="003356E1" w:rsidRPr="003E0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лагодаря развитию наставничества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 «Сургутский центр социальной помощи семье и детям» трудится </w:t>
      </w:r>
      <w:r w:rsidR="003356E1" w:rsidRPr="003E0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 профессионалов,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постоянно </w:t>
      </w:r>
      <w:r w:rsidR="003356E1" w:rsidRPr="003E0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делится своим </w:t>
      </w:r>
      <w:r w:rsidR="003356E1" w:rsidRPr="004F1E0C">
        <w:rPr>
          <w:rFonts w:ascii="Times New Roman" w:eastAsia="Times New Roman" w:hAnsi="Times New Roman" w:cs="Times New Roman"/>
          <w:sz w:val="28"/>
          <w:szCs w:val="28"/>
          <w:lang w:eastAsia="zh-CN"/>
        </w:rPr>
        <w:t>опытом и</w:t>
      </w:r>
      <w:r w:rsidR="003356E1" w:rsidRPr="003E0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боится конкуренции. </w:t>
      </w:r>
      <w:r w:rsidR="003356E1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его плечами – </w:t>
      </w:r>
      <w:r w:rsidR="004F1E0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профессионализм</w:t>
      </w:r>
      <w:r w:rsidR="003356E1" w:rsidRPr="003E0D1C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творчество, свершения, жизненные уроки, а впереди – новые открытия.</w:t>
      </w:r>
    </w:p>
    <w:p w:rsidR="00AB6160" w:rsidRDefault="00454AEA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9218B" w:rsidRPr="004D66E2" w:rsidRDefault="00B9218B" w:rsidP="00B9218B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E2">
        <w:rPr>
          <w:rFonts w:ascii="Times New Roman" w:hAnsi="Times New Roman" w:cs="Times New Roman"/>
          <w:color w:val="111111"/>
          <w:sz w:val="28"/>
          <w:szCs w:val="28"/>
        </w:rPr>
        <w:t xml:space="preserve">Стратегия-2020: Новая модель роста - новая социальная политика. Итоговый доклад о результатах экспертной работы по актуальным проблемам социально-экономической стратегии России на период до 2020 года. Книга 1; под </w:t>
      </w:r>
      <w:proofErr w:type="spellStart"/>
      <w:r w:rsidRPr="004D66E2">
        <w:rPr>
          <w:rFonts w:ascii="Times New Roman" w:hAnsi="Times New Roman" w:cs="Times New Roman"/>
          <w:color w:val="111111"/>
          <w:sz w:val="28"/>
          <w:szCs w:val="28"/>
        </w:rPr>
        <w:t>научн</w:t>
      </w:r>
      <w:proofErr w:type="spellEnd"/>
      <w:r w:rsidRPr="004D66E2">
        <w:rPr>
          <w:rFonts w:ascii="Times New Roman" w:hAnsi="Times New Roman" w:cs="Times New Roman"/>
          <w:color w:val="111111"/>
          <w:sz w:val="28"/>
          <w:szCs w:val="28"/>
        </w:rPr>
        <w:t xml:space="preserve">. ред. </w:t>
      </w:r>
      <w:proofErr w:type="spellStart"/>
      <w:r w:rsidRPr="004D66E2">
        <w:rPr>
          <w:rFonts w:ascii="Times New Roman" w:hAnsi="Times New Roman" w:cs="Times New Roman"/>
          <w:color w:val="111111"/>
          <w:sz w:val="28"/>
          <w:szCs w:val="28"/>
        </w:rPr>
        <w:t>В.А.Мау</w:t>
      </w:r>
      <w:proofErr w:type="spellEnd"/>
      <w:r w:rsidRPr="004D66E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D66E2">
        <w:rPr>
          <w:rFonts w:ascii="Times New Roman" w:hAnsi="Times New Roman" w:cs="Times New Roman"/>
          <w:color w:val="111111"/>
          <w:sz w:val="28"/>
          <w:szCs w:val="28"/>
        </w:rPr>
        <w:t>Я.И.Кузьминова</w:t>
      </w:r>
      <w:proofErr w:type="spellEnd"/>
    </w:p>
    <w:p w:rsidR="004D66E2" w:rsidRPr="004D66E2" w:rsidRDefault="004D66E2" w:rsidP="004D66E2">
      <w:pPr>
        <w:pStyle w:val="a4"/>
        <w:numPr>
          <w:ilvl w:val="0"/>
          <w:numId w:val="11"/>
        </w:numPr>
        <w:tabs>
          <w:tab w:val="left" w:pos="993"/>
        </w:tabs>
        <w:spacing w:before="375" w:after="375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66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Бачин</w:t>
      </w:r>
      <w:proofErr w:type="spellEnd"/>
      <w:r w:rsidRPr="004D66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Д.А. Наставничество как метод обучения и развития персонала // Современные научные исследования и инновации. 2014. № 4. Ч. 1 [Электронный ресурс]. URL: http://web.snauka.ru/issues/2014/04/32311 (дата обращения: 07.06.2018).</w:t>
      </w:r>
    </w:p>
    <w:p w:rsidR="004D66E2" w:rsidRPr="004D66E2" w:rsidRDefault="00AB6160" w:rsidP="004D66E2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E2">
        <w:rPr>
          <w:rFonts w:ascii="Times New Roman" w:hAnsi="Times New Roman" w:cs="Times New Roman"/>
          <w:sz w:val="28"/>
          <w:szCs w:val="28"/>
        </w:rPr>
        <w:t>Болдырева Р.Ю., Мосин Ф.А. Анализ существующих подходов к поняти</w:t>
      </w:r>
      <w:r w:rsidR="00F95464" w:rsidRPr="004D66E2">
        <w:rPr>
          <w:rFonts w:ascii="Times New Roman" w:hAnsi="Times New Roman" w:cs="Times New Roman"/>
          <w:sz w:val="28"/>
          <w:szCs w:val="28"/>
        </w:rPr>
        <w:t>ю «кадро</w:t>
      </w:r>
      <w:r w:rsidRPr="004D66E2">
        <w:rPr>
          <w:rFonts w:ascii="Times New Roman" w:hAnsi="Times New Roman" w:cs="Times New Roman"/>
          <w:sz w:val="28"/>
          <w:szCs w:val="28"/>
        </w:rPr>
        <w:t xml:space="preserve">вый потенциал»// </w:t>
      </w:r>
      <w:r w:rsidR="00F95464" w:rsidRPr="004D66E2">
        <w:rPr>
          <w:rFonts w:ascii="Times New Roman" w:hAnsi="Times New Roman" w:cs="Times New Roman"/>
          <w:sz w:val="28"/>
          <w:szCs w:val="28"/>
        </w:rPr>
        <w:t>Экономиче</w:t>
      </w:r>
      <w:r w:rsidRPr="004D66E2">
        <w:rPr>
          <w:rFonts w:ascii="Times New Roman" w:hAnsi="Times New Roman" w:cs="Times New Roman"/>
          <w:sz w:val="28"/>
          <w:szCs w:val="28"/>
        </w:rPr>
        <w:t>ские и юридические науки, Выпуск № 1-2 / 2011 г</w:t>
      </w:r>
      <w:r w:rsidR="004D66E2" w:rsidRPr="004D66E2">
        <w:rPr>
          <w:rFonts w:ascii="Times New Roman" w:hAnsi="Times New Roman" w:cs="Times New Roman"/>
          <w:sz w:val="28"/>
          <w:szCs w:val="28"/>
        </w:rPr>
        <w:t>.</w:t>
      </w:r>
    </w:p>
    <w:p w:rsidR="004D66E2" w:rsidRPr="004D66E2" w:rsidRDefault="004D66E2" w:rsidP="004D66E2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Вебер А. Инвестиции в молодые кадры // 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Expert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 . 2015 . 2 ноября</w:t>
      </w:r>
      <w:proofErr w:type="gram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доступа: http://expert . 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siberia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>/2015/46/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investitsii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>-v-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molodyie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>kadryi</w:t>
      </w:r>
      <w:proofErr w:type="spellEnd"/>
      <w:r w:rsidRPr="004D66E2">
        <w:rPr>
          <w:rFonts w:ascii="Times New Roman" w:hAnsi="Times New Roman" w:cs="Times New Roman"/>
          <w:color w:val="000000"/>
          <w:sz w:val="28"/>
          <w:szCs w:val="28"/>
        </w:rPr>
        <w:t>/ (дата обращения: 10 октября 2016 года) .</w:t>
      </w:r>
    </w:p>
    <w:p w:rsidR="004D66E2" w:rsidRPr="004D66E2" w:rsidRDefault="004D66E2" w:rsidP="004D66E2">
      <w:pPr>
        <w:pStyle w:val="a4"/>
        <w:numPr>
          <w:ilvl w:val="0"/>
          <w:numId w:val="11"/>
        </w:numPr>
        <w:tabs>
          <w:tab w:val="left" w:pos="993"/>
        </w:tabs>
        <w:spacing w:before="375" w:after="375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труда и социальной защиты Российской Федерации Методический </w:t>
      </w:r>
      <w:bookmarkStart w:id="0" w:name="_GoBack"/>
      <w:bookmarkEnd w:id="0"/>
      <w:r w:rsidRPr="004D66E2">
        <w:rPr>
          <w:rFonts w:ascii="Times New Roman" w:hAnsi="Times New Roman" w:cs="Times New Roman"/>
          <w:color w:val="000000"/>
          <w:sz w:val="28"/>
          <w:szCs w:val="28"/>
        </w:rPr>
        <w:t>инструментарий по применению наставничества на государственной гражданской службе М , 2013</w:t>
      </w:r>
    </w:p>
    <w:p w:rsidR="004D66E2" w:rsidRDefault="004D66E2" w:rsidP="004D66E2">
      <w:pPr>
        <w:pStyle w:val="a4"/>
        <w:numPr>
          <w:ilvl w:val="0"/>
          <w:numId w:val="11"/>
        </w:numPr>
        <w:tabs>
          <w:tab w:val="left" w:pos="993"/>
        </w:tabs>
        <w:spacing w:before="375" w:after="375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66E2">
        <w:rPr>
          <w:rFonts w:ascii="Times New Roman" w:hAnsi="Times New Roman" w:cs="Times New Roman"/>
          <w:color w:val="000000"/>
          <w:sz w:val="28"/>
          <w:szCs w:val="28"/>
        </w:rPr>
        <w:t>Сулейманова Н. Как сделать наставничество эффективным // Кадровик</w:t>
      </w:r>
      <w:proofErr w:type="gramStart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66E2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менеджмент (управление персоналом) . 2012 . № 9.</w:t>
      </w:r>
    </w:p>
    <w:p w:rsidR="00F95464" w:rsidRPr="00F148AB" w:rsidRDefault="00F95464" w:rsidP="00F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60" w:rsidRDefault="00AB6160" w:rsidP="00EA0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AB6160" w:rsidSect="00E60D6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B" w:rsidRDefault="00F148AB" w:rsidP="006553D3">
      <w:pPr>
        <w:spacing w:after="0" w:line="240" w:lineRule="auto"/>
      </w:pPr>
      <w:r>
        <w:separator/>
      </w:r>
    </w:p>
  </w:endnote>
  <w:endnote w:type="continuationSeparator" w:id="0">
    <w:p w:rsidR="00F148AB" w:rsidRDefault="00F148AB" w:rsidP="006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B" w:rsidRDefault="00F148AB" w:rsidP="006553D3">
      <w:pPr>
        <w:spacing w:after="0" w:line="240" w:lineRule="auto"/>
      </w:pPr>
      <w:r>
        <w:separator/>
      </w:r>
    </w:p>
  </w:footnote>
  <w:footnote w:type="continuationSeparator" w:id="0">
    <w:p w:rsidR="00F148AB" w:rsidRDefault="00F148AB" w:rsidP="006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11269"/>
      <w:docPartObj>
        <w:docPartGallery w:val="Page Numbers (Top of Page)"/>
        <w:docPartUnique/>
      </w:docPartObj>
    </w:sdtPr>
    <w:sdtEndPr/>
    <w:sdtContent>
      <w:p w:rsidR="00F148AB" w:rsidRDefault="00B921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8AB" w:rsidRDefault="00F148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  <w:sz w:val="28"/>
        <w:szCs w:val="28"/>
      </w:rPr>
    </w:lvl>
  </w:abstractNum>
  <w:abstractNum w:abstractNumId="1">
    <w:nsid w:val="23C4511C"/>
    <w:multiLevelType w:val="hybridMultilevel"/>
    <w:tmpl w:val="839A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4D4"/>
    <w:multiLevelType w:val="hybridMultilevel"/>
    <w:tmpl w:val="41D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B96"/>
    <w:multiLevelType w:val="hybridMultilevel"/>
    <w:tmpl w:val="EAD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4BBE"/>
    <w:multiLevelType w:val="multilevel"/>
    <w:tmpl w:val="16B4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A6FE9"/>
    <w:multiLevelType w:val="hybridMultilevel"/>
    <w:tmpl w:val="36F4972A"/>
    <w:lvl w:ilvl="0" w:tplc="60CAB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055E0B"/>
    <w:multiLevelType w:val="multilevel"/>
    <w:tmpl w:val="26D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C24D95"/>
    <w:multiLevelType w:val="hybridMultilevel"/>
    <w:tmpl w:val="2C923E96"/>
    <w:lvl w:ilvl="0" w:tplc="716CC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FFC"/>
    <w:multiLevelType w:val="hybridMultilevel"/>
    <w:tmpl w:val="A920CF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DA1E2D"/>
    <w:multiLevelType w:val="hybridMultilevel"/>
    <w:tmpl w:val="E65012CA"/>
    <w:lvl w:ilvl="0" w:tplc="CB7AA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171C44"/>
    <w:multiLevelType w:val="hybridMultilevel"/>
    <w:tmpl w:val="A87E8098"/>
    <w:lvl w:ilvl="0" w:tplc="1722C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126A34"/>
    <w:multiLevelType w:val="hybridMultilevel"/>
    <w:tmpl w:val="92F8BD98"/>
    <w:lvl w:ilvl="0" w:tplc="75B2CE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18"/>
    <w:rsid w:val="00010440"/>
    <w:rsid w:val="000300BB"/>
    <w:rsid w:val="0003052F"/>
    <w:rsid w:val="00040BA6"/>
    <w:rsid w:val="00075E8D"/>
    <w:rsid w:val="00083406"/>
    <w:rsid w:val="00085576"/>
    <w:rsid w:val="000972D6"/>
    <w:rsid w:val="000E54BE"/>
    <w:rsid w:val="000F1E43"/>
    <w:rsid w:val="001032B6"/>
    <w:rsid w:val="001055A1"/>
    <w:rsid w:val="001110A9"/>
    <w:rsid w:val="00113943"/>
    <w:rsid w:val="00140A18"/>
    <w:rsid w:val="001428C7"/>
    <w:rsid w:val="001442B2"/>
    <w:rsid w:val="00184988"/>
    <w:rsid w:val="00187FE1"/>
    <w:rsid w:val="00196285"/>
    <w:rsid w:val="001A21B9"/>
    <w:rsid w:val="001A2F5C"/>
    <w:rsid w:val="001B545A"/>
    <w:rsid w:val="001C651C"/>
    <w:rsid w:val="001C6587"/>
    <w:rsid w:val="001D46F6"/>
    <w:rsid w:val="001F20C6"/>
    <w:rsid w:val="00203E01"/>
    <w:rsid w:val="00206BAB"/>
    <w:rsid w:val="002215D0"/>
    <w:rsid w:val="00231A34"/>
    <w:rsid w:val="00242E3B"/>
    <w:rsid w:val="002510E7"/>
    <w:rsid w:val="002625AA"/>
    <w:rsid w:val="00265E25"/>
    <w:rsid w:val="002A4C70"/>
    <w:rsid w:val="002C30D3"/>
    <w:rsid w:val="002C3C60"/>
    <w:rsid w:val="002D0FFF"/>
    <w:rsid w:val="002D5E55"/>
    <w:rsid w:val="002F3C61"/>
    <w:rsid w:val="002F650A"/>
    <w:rsid w:val="003022B0"/>
    <w:rsid w:val="003064CB"/>
    <w:rsid w:val="00311D2B"/>
    <w:rsid w:val="00321494"/>
    <w:rsid w:val="003233CA"/>
    <w:rsid w:val="00333998"/>
    <w:rsid w:val="003356E1"/>
    <w:rsid w:val="00336905"/>
    <w:rsid w:val="00345F07"/>
    <w:rsid w:val="00352CD2"/>
    <w:rsid w:val="0035426D"/>
    <w:rsid w:val="0036270B"/>
    <w:rsid w:val="0037348F"/>
    <w:rsid w:val="00392760"/>
    <w:rsid w:val="003A0877"/>
    <w:rsid w:val="003A0BE8"/>
    <w:rsid w:val="003A63A8"/>
    <w:rsid w:val="003B1B56"/>
    <w:rsid w:val="003C4611"/>
    <w:rsid w:val="003E0D1C"/>
    <w:rsid w:val="003E34D6"/>
    <w:rsid w:val="003E4285"/>
    <w:rsid w:val="00410E38"/>
    <w:rsid w:val="0041691E"/>
    <w:rsid w:val="00435218"/>
    <w:rsid w:val="0043611A"/>
    <w:rsid w:val="004378A8"/>
    <w:rsid w:val="00443D82"/>
    <w:rsid w:val="00454AEA"/>
    <w:rsid w:val="00467E7E"/>
    <w:rsid w:val="00471661"/>
    <w:rsid w:val="00474733"/>
    <w:rsid w:val="00475E5D"/>
    <w:rsid w:val="004A6936"/>
    <w:rsid w:val="004D5DCE"/>
    <w:rsid w:val="004D66E2"/>
    <w:rsid w:val="004F1E0C"/>
    <w:rsid w:val="00513859"/>
    <w:rsid w:val="005451E7"/>
    <w:rsid w:val="00547A97"/>
    <w:rsid w:val="005850C1"/>
    <w:rsid w:val="005911FB"/>
    <w:rsid w:val="0059120B"/>
    <w:rsid w:val="005918FE"/>
    <w:rsid w:val="005A52AA"/>
    <w:rsid w:val="005B3F9D"/>
    <w:rsid w:val="005C186C"/>
    <w:rsid w:val="005C5218"/>
    <w:rsid w:val="005D191E"/>
    <w:rsid w:val="005D2AE0"/>
    <w:rsid w:val="005E2EF1"/>
    <w:rsid w:val="005E301A"/>
    <w:rsid w:val="005F4F53"/>
    <w:rsid w:val="00613841"/>
    <w:rsid w:val="00613942"/>
    <w:rsid w:val="006429C0"/>
    <w:rsid w:val="0064694B"/>
    <w:rsid w:val="00651229"/>
    <w:rsid w:val="006553D3"/>
    <w:rsid w:val="006574A5"/>
    <w:rsid w:val="00665C66"/>
    <w:rsid w:val="006749B9"/>
    <w:rsid w:val="00680C4C"/>
    <w:rsid w:val="00682567"/>
    <w:rsid w:val="00686CEB"/>
    <w:rsid w:val="006B4CAD"/>
    <w:rsid w:val="006F0421"/>
    <w:rsid w:val="00701C9F"/>
    <w:rsid w:val="0070566F"/>
    <w:rsid w:val="007156AA"/>
    <w:rsid w:val="00716E84"/>
    <w:rsid w:val="007217D3"/>
    <w:rsid w:val="0072527F"/>
    <w:rsid w:val="007301FE"/>
    <w:rsid w:val="007356A1"/>
    <w:rsid w:val="00741DB8"/>
    <w:rsid w:val="0075449D"/>
    <w:rsid w:val="007832CC"/>
    <w:rsid w:val="00786B90"/>
    <w:rsid w:val="0079147E"/>
    <w:rsid w:val="00791B3E"/>
    <w:rsid w:val="007B20D5"/>
    <w:rsid w:val="007B447D"/>
    <w:rsid w:val="007C4E48"/>
    <w:rsid w:val="00800712"/>
    <w:rsid w:val="00853BCA"/>
    <w:rsid w:val="0085716F"/>
    <w:rsid w:val="00864B44"/>
    <w:rsid w:val="00866457"/>
    <w:rsid w:val="008730E3"/>
    <w:rsid w:val="008918EA"/>
    <w:rsid w:val="008933BB"/>
    <w:rsid w:val="008B1260"/>
    <w:rsid w:val="008B3F92"/>
    <w:rsid w:val="008B6042"/>
    <w:rsid w:val="008E3670"/>
    <w:rsid w:val="008F3EFC"/>
    <w:rsid w:val="00902377"/>
    <w:rsid w:val="00904ADE"/>
    <w:rsid w:val="00907A7B"/>
    <w:rsid w:val="00925A8A"/>
    <w:rsid w:val="0093457C"/>
    <w:rsid w:val="0094784C"/>
    <w:rsid w:val="00970B13"/>
    <w:rsid w:val="00970BB2"/>
    <w:rsid w:val="0097255A"/>
    <w:rsid w:val="00973F95"/>
    <w:rsid w:val="0098017A"/>
    <w:rsid w:val="0098556C"/>
    <w:rsid w:val="009A556C"/>
    <w:rsid w:val="009A7A7F"/>
    <w:rsid w:val="009B5918"/>
    <w:rsid w:val="009C6B2B"/>
    <w:rsid w:val="009D2022"/>
    <w:rsid w:val="009D3E36"/>
    <w:rsid w:val="009E121D"/>
    <w:rsid w:val="009E7C2A"/>
    <w:rsid w:val="009F523E"/>
    <w:rsid w:val="00A140BC"/>
    <w:rsid w:val="00A32457"/>
    <w:rsid w:val="00A6542A"/>
    <w:rsid w:val="00A65B0A"/>
    <w:rsid w:val="00A81BBA"/>
    <w:rsid w:val="00A92211"/>
    <w:rsid w:val="00AB6160"/>
    <w:rsid w:val="00AD2738"/>
    <w:rsid w:val="00AF4DD4"/>
    <w:rsid w:val="00B02A9F"/>
    <w:rsid w:val="00B12892"/>
    <w:rsid w:val="00B1421E"/>
    <w:rsid w:val="00B14A77"/>
    <w:rsid w:val="00B17328"/>
    <w:rsid w:val="00B25357"/>
    <w:rsid w:val="00B71B57"/>
    <w:rsid w:val="00B81713"/>
    <w:rsid w:val="00B85C84"/>
    <w:rsid w:val="00B9218B"/>
    <w:rsid w:val="00BA6BF0"/>
    <w:rsid w:val="00BB7BEA"/>
    <w:rsid w:val="00BD56AD"/>
    <w:rsid w:val="00BE52A3"/>
    <w:rsid w:val="00C079F6"/>
    <w:rsid w:val="00C07A2C"/>
    <w:rsid w:val="00C07FED"/>
    <w:rsid w:val="00C36FE8"/>
    <w:rsid w:val="00C706B8"/>
    <w:rsid w:val="00C73D84"/>
    <w:rsid w:val="00C80F2B"/>
    <w:rsid w:val="00C93CBA"/>
    <w:rsid w:val="00C970F5"/>
    <w:rsid w:val="00CA0E93"/>
    <w:rsid w:val="00CA5C2C"/>
    <w:rsid w:val="00CD1CD9"/>
    <w:rsid w:val="00CD1D62"/>
    <w:rsid w:val="00CD51FF"/>
    <w:rsid w:val="00CE557F"/>
    <w:rsid w:val="00CF3235"/>
    <w:rsid w:val="00D07589"/>
    <w:rsid w:val="00D61AB8"/>
    <w:rsid w:val="00D7331D"/>
    <w:rsid w:val="00D82695"/>
    <w:rsid w:val="00DB2B20"/>
    <w:rsid w:val="00DB3FE0"/>
    <w:rsid w:val="00DE2CEB"/>
    <w:rsid w:val="00E37E69"/>
    <w:rsid w:val="00E40D47"/>
    <w:rsid w:val="00E44C6A"/>
    <w:rsid w:val="00E457A0"/>
    <w:rsid w:val="00E53E9D"/>
    <w:rsid w:val="00E5513F"/>
    <w:rsid w:val="00E60AF8"/>
    <w:rsid w:val="00E60D68"/>
    <w:rsid w:val="00E6267E"/>
    <w:rsid w:val="00E6794C"/>
    <w:rsid w:val="00E86E6B"/>
    <w:rsid w:val="00E87B03"/>
    <w:rsid w:val="00EA0B6D"/>
    <w:rsid w:val="00EA704B"/>
    <w:rsid w:val="00EB48F6"/>
    <w:rsid w:val="00EC4257"/>
    <w:rsid w:val="00ED2AE7"/>
    <w:rsid w:val="00ED6E23"/>
    <w:rsid w:val="00EE4CF7"/>
    <w:rsid w:val="00EF0D0A"/>
    <w:rsid w:val="00F148AB"/>
    <w:rsid w:val="00F210E9"/>
    <w:rsid w:val="00F22363"/>
    <w:rsid w:val="00F22FAA"/>
    <w:rsid w:val="00F3549D"/>
    <w:rsid w:val="00F54FCE"/>
    <w:rsid w:val="00F9423E"/>
    <w:rsid w:val="00F95464"/>
    <w:rsid w:val="00FA0A00"/>
    <w:rsid w:val="00FA0A17"/>
    <w:rsid w:val="00FB2AED"/>
    <w:rsid w:val="00FC713B"/>
    <w:rsid w:val="00FD3EFE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6"/>
  </w:style>
  <w:style w:type="paragraph" w:styleId="2">
    <w:name w:val="heading 2"/>
    <w:basedOn w:val="a"/>
    <w:link w:val="20"/>
    <w:uiPriority w:val="9"/>
    <w:qFormat/>
    <w:rsid w:val="00F1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92211"/>
    <w:pPr>
      <w:ind w:left="720"/>
      <w:contextualSpacing/>
    </w:pPr>
  </w:style>
  <w:style w:type="character" w:styleId="a5">
    <w:name w:val="Emphasis"/>
    <w:basedOn w:val="a0"/>
    <w:uiPriority w:val="20"/>
    <w:qFormat/>
    <w:rsid w:val="00410E38"/>
    <w:rPr>
      <w:i/>
      <w:iCs/>
    </w:rPr>
  </w:style>
  <w:style w:type="character" w:styleId="a6">
    <w:name w:val="Hyperlink"/>
    <w:basedOn w:val="a0"/>
    <w:uiPriority w:val="99"/>
    <w:semiHidden/>
    <w:unhideWhenUsed/>
    <w:rsid w:val="008933BB"/>
    <w:rPr>
      <w:color w:val="0000FF"/>
      <w:u w:val="single"/>
    </w:rPr>
  </w:style>
  <w:style w:type="paragraph" w:styleId="a7">
    <w:name w:val="No Spacing"/>
    <w:link w:val="a8"/>
    <w:qFormat/>
    <w:rsid w:val="000300BB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rsid w:val="004A6936"/>
    <w:rPr>
      <w:rFonts w:ascii="Times New Roman" w:hAnsi="Times New Roman" w:cs="Times New Roman"/>
      <w:sz w:val="27"/>
      <w:szCs w:val="27"/>
      <w:u w:val="none"/>
    </w:rPr>
  </w:style>
  <w:style w:type="paragraph" w:customStyle="1" w:styleId="10">
    <w:name w:val="Обычный (веб)1"/>
    <w:basedOn w:val="a"/>
    <w:rsid w:val="00475E5D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53E9D"/>
  </w:style>
  <w:style w:type="character" w:styleId="a9">
    <w:name w:val="Strong"/>
    <w:basedOn w:val="a0"/>
    <w:uiPriority w:val="22"/>
    <w:qFormat/>
    <w:rsid w:val="00FF311F"/>
    <w:rPr>
      <w:b/>
      <w:bCs/>
    </w:rPr>
  </w:style>
  <w:style w:type="paragraph" w:styleId="aa">
    <w:name w:val="Normal (Web)"/>
    <w:basedOn w:val="a"/>
    <w:uiPriority w:val="99"/>
    <w:semiHidden/>
    <w:unhideWhenUsed/>
    <w:rsid w:val="0086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1E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53D3"/>
  </w:style>
  <w:style w:type="paragraph" w:styleId="af">
    <w:name w:val="footer"/>
    <w:basedOn w:val="a"/>
    <w:link w:val="af0"/>
    <w:uiPriority w:val="99"/>
    <w:unhideWhenUsed/>
    <w:rsid w:val="0065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53D3"/>
  </w:style>
  <w:style w:type="character" w:customStyle="1" w:styleId="citation">
    <w:name w:val="citation"/>
    <w:basedOn w:val="a0"/>
    <w:rsid w:val="00F148AB"/>
  </w:style>
  <w:style w:type="character" w:customStyle="1" w:styleId="20">
    <w:name w:val="Заголовок 2 Знак"/>
    <w:basedOn w:val="a0"/>
    <w:link w:val="2"/>
    <w:uiPriority w:val="9"/>
    <w:rsid w:val="00F14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92211"/>
    <w:pPr>
      <w:ind w:left="720"/>
      <w:contextualSpacing/>
    </w:pPr>
  </w:style>
  <w:style w:type="character" w:styleId="a5">
    <w:name w:val="Emphasis"/>
    <w:basedOn w:val="a0"/>
    <w:uiPriority w:val="20"/>
    <w:qFormat/>
    <w:rsid w:val="00410E38"/>
    <w:rPr>
      <w:i/>
      <w:iCs/>
    </w:rPr>
  </w:style>
  <w:style w:type="character" w:styleId="a6">
    <w:name w:val="Hyperlink"/>
    <w:basedOn w:val="a0"/>
    <w:uiPriority w:val="99"/>
    <w:semiHidden/>
    <w:unhideWhenUsed/>
    <w:rsid w:val="008933BB"/>
    <w:rPr>
      <w:color w:val="0000FF"/>
      <w:u w:val="single"/>
    </w:rPr>
  </w:style>
  <w:style w:type="paragraph" w:styleId="a7">
    <w:name w:val="No Spacing"/>
    <w:link w:val="a8"/>
    <w:qFormat/>
    <w:rsid w:val="000300BB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rsid w:val="004A6936"/>
    <w:rPr>
      <w:rFonts w:ascii="Times New Roman" w:hAnsi="Times New Roman" w:cs="Times New Roman"/>
      <w:sz w:val="27"/>
      <w:szCs w:val="27"/>
      <w:u w:val="none"/>
    </w:rPr>
  </w:style>
  <w:style w:type="paragraph" w:customStyle="1" w:styleId="10">
    <w:name w:val="Обычный (веб)1"/>
    <w:basedOn w:val="a"/>
    <w:rsid w:val="00475E5D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53E9D"/>
  </w:style>
  <w:style w:type="character" w:styleId="a9">
    <w:name w:val="Strong"/>
    <w:basedOn w:val="a0"/>
    <w:uiPriority w:val="22"/>
    <w:qFormat/>
    <w:rsid w:val="00FF311F"/>
    <w:rPr>
      <w:b/>
      <w:bCs/>
    </w:rPr>
  </w:style>
  <w:style w:type="paragraph" w:styleId="aa">
    <w:name w:val="Normal (Web)"/>
    <w:basedOn w:val="a"/>
    <w:uiPriority w:val="99"/>
    <w:semiHidden/>
    <w:unhideWhenUsed/>
    <w:rsid w:val="0086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1E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53D3"/>
  </w:style>
  <w:style w:type="paragraph" w:styleId="af">
    <w:name w:val="footer"/>
    <w:basedOn w:val="a"/>
    <w:link w:val="af0"/>
    <w:uiPriority w:val="99"/>
    <w:unhideWhenUsed/>
    <w:rsid w:val="0065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Вероника Валерьевна</dc:creator>
  <cp:lastModifiedBy>Маринина Наталья Евгеньевна</cp:lastModifiedBy>
  <cp:revision>36</cp:revision>
  <cp:lastPrinted>2018-01-29T03:29:00Z</cp:lastPrinted>
  <dcterms:created xsi:type="dcterms:W3CDTF">2018-02-02T09:59:00Z</dcterms:created>
  <dcterms:modified xsi:type="dcterms:W3CDTF">2018-09-27T05:13:00Z</dcterms:modified>
</cp:coreProperties>
</file>