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BB" w:rsidRPr="00190C35" w:rsidRDefault="00C034CC" w:rsidP="00C63817">
      <w:pPr>
        <w:jc w:val="center"/>
        <w:rPr>
          <w:b/>
          <w:szCs w:val="28"/>
        </w:rPr>
      </w:pPr>
      <w:r w:rsidRPr="00190C35">
        <w:rPr>
          <w:b/>
          <w:szCs w:val="28"/>
        </w:rPr>
        <w:t>Н</w:t>
      </w:r>
      <w:r w:rsidR="00357C80" w:rsidRPr="00190C35">
        <w:rPr>
          <w:b/>
          <w:szCs w:val="28"/>
        </w:rPr>
        <w:t>езависим</w:t>
      </w:r>
      <w:r w:rsidRPr="00190C35">
        <w:rPr>
          <w:b/>
          <w:szCs w:val="28"/>
        </w:rPr>
        <w:t>ая</w:t>
      </w:r>
      <w:r w:rsidR="00357C80" w:rsidRPr="00190C35">
        <w:rPr>
          <w:b/>
          <w:szCs w:val="28"/>
        </w:rPr>
        <w:t xml:space="preserve"> оценк</w:t>
      </w:r>
      <w:r w:rsidRPr="00190C35">
        <w:rPr>
          <w:b/>
          <w:szCs w:val="28"/>
        </w:rPr>
        <w:t>а</w:t>
      </w:r>
      <w:r w:rsidR="00357C80" w:rsidRPr="00190C35">
        <w:rPr>
          <w:b/>
          <w:szCs w:val="28"/>
        </w:rPr>
        <w:t xml:space="preserve"> качества </w:t>
      </w:r>
      <w:r w:rsidR="00190C35" w:rsidRPr="00190C35">
        <w:rPr>
          <w:b/>
          <w:szCs w:val="28"/>
        </w:rPr>
        <w:t xml:space="preserve">условий оказания социальных услуг в </w:t>
      </w:r>
      <w:r w:rsidR="00056C53" w:rsidRPr="00190C35">
        <w:rPr>
          <w:b/>
          <w:szCs w:val="28"/>
        </w:rPr>
        <w:t>201</w:t>
      </w:r>
      <w:r w:rsidR="00E83AA7" w:rsidRPr="00190C35">
        <w:rPr>
          <w:b/>
          <w:szCs w:val="28"/>
        </w:rPr>
        <w:t>9</w:t>
      </w:r>
      <w:r w:rsidR="00011060" w:rsidRPr="00190C35">
        <w:rPr>
          <w:b/>
          <w:szCs w:val="28"/>
        </w:rPr>
        <w:t xml:space="preserve"> год</w:t>
      </w:r>
      <w:r w:rsidR="00190C35" w:rsidRPr="00190C35">
        <w:rPr>
          <w:b/>
          <w:szCs w:val="28"/>
        </w:rPr>
        <w:t>у</w:t>
      </w:r>
    </w:p>
    <w:p w:rsidR="00190C35" w:rsidRPr="00FA6ABB" w:rsidRDefault="00190C35" w:rsidP="00C63817">
      <w:pPr>
        <w:jc w:val="center"/>
        <w:rPr>
          <w:b/>
          <w:szCs w:val="28"/>
        </w:rPr>
      </w:pPr>
    </w:p>
    <w:p w:rsidR="00801F64" w:rsidRPr="003945D1" w:rsidRDefault="00E83AA7" w:rsidP="009B6078">
      <w:pPr>
        <w:spacing w:line="276" w:lineRule="auto"/>
        <w:ind w:firstLine="709"/>
        <w:jc w:val="both"/>
        <w:rPr>
          <w:sz w:val="26"/>
          <w:szCs w:val="26"/>
        </w:rPr>
      </w:pPr>
      <w:r w:rsidRPr="003945D1">
        <w:rPr>
          <w:iCs/>
          <w:sz w:val="26"/>
          <w:szCs w:val="26"/>
        </w:rPr>
        <w:t>Результаты проведенного в 2019 году исследования</w:t>
      </w:r>
      <w:r w:rsidR="00801F64" w:rsidRPr="003945D1">
        <w:rPr>
          <w:iCs/>
          <w:sz w:val="26"/>
          <w:szCs w:val="26"/>
        </w:rPr>
        <w:t xml:space="preserve"> среди </w:t>
      </w:r>
      <w:r w:rsidR="00801F64" w:rsidRPr="003945D1">
        <w:rPr>
          <w:sz w:val="26"/>
          <w:szCs w:val="26"/>
        </w:rPr>
        <w:t>48 организаций социального обслуживания ХМАО-Югры</w:t>
      </w:r>
      <w:r w:rsidRPr="003945D1">
        <w:rPr>
          <w:iCs/>
          <w:sz w:val="26"/>
          <w:szCs w:val="26"/>
        </w:rPr>
        <w:t xml:space="preserve">, включающего в себя </w:t>
      </w:r>
      <w:r w:rsidRPr="003945D1">
        <w:rPr>
          <w:sz w:val="26"/>
          <w:szCs w:val="26"/>
        </w:rPr>
        <w:t>сбор, обобщение и анализ информации о качестве условий оказания услуг</w:t>
      </w:r>
      <w:r w:rsidR="00801F64" w:rsidRPr="003945D1">
        <w:rPr>
          <w:sz w:val="26"/>
          <w:szCs w:val="26"/>
        </w:rPr>
        <w:t xml:space="preserve">, </w:t>
      </w:r>
      <w:r w:rsidRPr="003945D1">
        <w:rPr>
          <w:sz w:val="26"/>
          <w:szCs w:val="26"/>
        </w:rPr>
        <w:t xml:space="preserve"> </w:t>
      </w:r>
      <w:r w:rsidR="00801F64" w:rsidRPr="003945D1">
        <w:rPr>
          <w:spacing w:val="-4"/>
          <w:sz w:val="26"/>
          <w:szCs w:val="26"/>
        </w:rPr>
        <w:t xml:space="preserve">подтвердили высокую позицию </w:t>
      </w:r>
      <w:r w:rsidR="00801F64" w:rsidRPr="003945D1">
        <w:rPr>
          <w:b/>
          <w:sz w:val="26"/>
          <w:szCs w:val="26"/>
        </w:rPr>
        <w:t>БУ ХМАО-Югры «Сургутский центр социальной помощи семье и детям»</w:t>
      </w:r>
      <w:r w:rsidR="00801F64" w:rsidRPr="003945D1">
        <w:rPr>
          <w:sz w:val="26"/>
          <w:szCs w:val="26"/>
        </w:rPr>
        <w:t xml:space="preserve"> </w:t>
      </w:r>
      <w:r w:rsidR="00801F64" w:rsidRPr="003945D1">
        <w:rPr>
          <w:spacing w:val="-4"/>
          <w:sz w:val="26"/>
          <w:szCs w:val="26"/>
        </w:rPr>
        <w:t>в рейтинге организаций по всем параметрам оценки</w:t>
      </w:r>
      <w:r w:rsidR="00D171D8" w:rsidRPr="003945D1">
        <w:rPr>
          <w:spacing w:val="-4"/>
          <w:sz w:val="26"/>
          <w:szCs w:val="26"/>
        </w:rPr>
        <w:t xml:space="preserve">. Учреждение </w:t>
      </w:r>
      <w:r w:rsidR="00801F64" w:rsidRPr="003945D1">
        <w:rPr>
          <w:spacing w:val="-4"/>
          <w:sz w:val="26"/>
          <w:szCs w:val="26"/>
        </w:rPr>
        <w:t xml:space="preserve">вошло в число </w:t>
      </w:r>
      <w:r w:rsidRPr="003945D1">
        <w:rPr>
          <w:sz w:val="26"/>
          <w:szCs w:val="26"/>
        </w:rPr>
        <w:t xml:space="preserve">лидеров по сумме баллов по пяти критериям </w:t>
      </w:r>
      <w:r w:rsidR="00D171D8" w:rsidRPr="003945D1">
        <w:rPr>
          <w:sz w:val="26"/>
          <w:szCs w:val="26"/>
        </w:rPr>
        <w:t xml:space="preserve">- </w:t>
      </w:r>
      <w:bookmarkStart w:id="0" w:name="_GoBack"/>
      <w:bookmarkEnd w:id="0"/>
      <w:r w:rsidRPr="003945D1">
        <w:rPr>
          <w:sz w:val="26"/>
          <w:szCs w:val="26"/>
        </w:rPr>
        <w:t>11 государственных организаций социального обслуживания населения, набравших 99,0 и более баллов</w:t>
      </w:r>
      <w:r w:rsidR="00801F64" w:rsidRPr="003945D1">
        <w:rPr>
          <w:sz w:val="26"/>
          <w:szCs w:val="26"/>
        </w:rPr>
        <w:t>.</w:t>
      </w:r>
    </w:p>
    <w:p w:rsidR="003945D1" w:rsidRDefault="003945D1" w:rsidP="00190C35">
      <w:pPr>
        <w:jc w:val="center"/>
        <w:rPr>
          <w:b/>
          <w:sz w:val="26"/>
          <w:szCs w:val="26"/>
        </w:rPr>
      </w:pPr>
    </w:p>
    <w:p w:rsidR="00B51FF2" w:rsidRPr="003945D1" w:rsidRDefault="00E83AA7" w:rsidP="00190C35">
      <w:pPr>
        <w:jc w:val="center"/>
        <w:rPr>
          <w:b/>
          <w:sz w:val="26"/>
          <w:szCs w:val="26"/>
        </w:rPr>
      </w:pPr>
      <w:r w:rsidRPr="003945D1">
        <w:rPr>
          <w:b/>
          <w:sz w:val="26"/>
          <w:szCs w:val="26"/>
        </w:rPr>
        <w:t>Значен</w:t>
      </w:r>
      <w:r w:rsidR="00190C35" w:rsidRPr="003945D1">
        <w:rPr>
          <w:b/>
          <w:sz w:val="26"/>
          <w:szCs w:val="26"/>
        </w:rPr>
        <w:t>ия показателей  Б</w:t>
      </w:r>
      <w:r w:rsidRPr="003945D1">
        <w:rPr>
          <w:b/>
          <w:sz w:val="26"/>
          <w:szCs w:val="26"/>
        </w:rPr>
        <w:t>У «Сургутский центр социальной помощи семье и детям» (в баллах)</w:t>
      </w:r>
    </w:p>
    <w:p w:rsidR="00190C35" w:rsidRPr="009B6078" w:rsidRDefault="00190C35" w:rsidP="00190C35">
      <w:pPr>
        <w:jc w:val="center"/>
        <w:rPr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709"/>
        <w:gridCol w:w="895"/>
        <w:gridCol w:w="771"/>
        <w:gridCol w:w="778"/>
        <w:gridCol w:w="776"/>
        <w:gridCol w:w="708"/>
        <w:gridCol w:w="709"/>
        <w:gridCol w:w="710"/>
        <w:gridCol w:w="714"/>
        <w:gridCol w:w="709"/>
        <w:gridCol w:w="756"/>
        <w:gridCol w:w="756"/>
        <w:gridCol w:w="757"/>
        <w:gridCol w:w="708"/>
        <w:gridCol w:w="709"/>
        <w:gridCol w:w="708"/>
        <w:gridCol w:w="601"/>
        <w:gridCol w:w="709"/>
        <w:gridCol w:w="567"/>
        <w:gridCol w:w="567"/>
        <w:gridCol w:w="851"/>
      </w:tblGrid>
      <w:tr w:rsidR="00190C35" w:rsidRPr="00B51FF2" w:rsidTr="00801F64">
        <w:trPr>
          <w:trHeight w:val="745"/>
        </w:trPr>
        <w:tc>
          <w:tcPr>
            <w:tcW w:w="426" w:type="dxa"/>
            <w:vMerge w:val="restart"/>
          </w:tcPr>
          <w:p w:rsidR="00190C35" w:rsidRPr="007D40D6" w:rsidRDefault="00190C35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b/>
                <w:color w:val="000000"/>
                <w:sz w:val="14"/>
                <w:szCs w:val="14"/>
              </w:rPr>
              <w:t>/п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90C35" w:rsidRPr="00190C35" w:rsidRDefault="00190C35" w:rsidP="00F8344D">
            <w:pPr>
              <w:spacing w:line="21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90C35">
              <w:rPr>
                <w:b/>
                <w:color w:val="FF0000"/>
                <w:sz w:val="14"/>
                <w:szCs w:val="14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3220" w:type="dxa"/>
            <w:gridSpan w:val="4"/>
          </w:tcPr>
          <w:p w:rsidR="00190C35" w:rsidRPr="009B6078" w:rsidRDefault="00190C35" w:rsidP="009B6078">
            <w:pPr>
              <w:jc w:val="center"/>
              <w:rPr>
                <w:color w:val="000000"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2841" w:type="dxa"/>
            <w:gridSpan w:val="4"/>
          </w:tcPr>
          <w:p w:rsidR="00190C35" w:rsidRPr="009B6078" w:rsidRDefault="00190C35" w:rsidP="009B6078">
            <w:pPr>
              <w:jc w:val="center"/>
              <w:rPr>
                <w:color w:val="000000"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 xml:space="preserve">2 - </w:t>
            </w:r>
            <w:r w:rsidRPr="009B6078">
              <w:rPr>
                <w:color w:val="000000"/>
                <w:spacing w:val="-6"/>
                <w:sz w:val="16"/>
                <w:szCs w:val="16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978" w:type="dxa"/>
            <w:gridSpan w:val="4"/>
          </w:tcPr>
          <w:p w:rsidR="00190C35" w:rsidRPr="009B6078" w:rsidRDefault="00190C35" w:rsidP="009B6078">
            <w:pPr>
              <w:jc w:val="center"/>
              <w:rPr>
                <w:color w:val="000000"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2726" w:type="dxa"/>
            <w:gridSpan w:val="4"/>
          </w:tcPr>
          <w:p w:rsidR="00190C35" w:rsidRPr="009B6078" w:rsidRDefault="00190C35" w:rsidP="009B6078">
            <w:pPr>
              <w:jc w:val="center"/>
              <w:rPr>
                <w:color w:val="000000"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2694" w:type="dxa"/>
            <w:gridSpan w:val="4"/>
          </w:tcPr>
          <w:p w:rsidR="00190C35" w:rsidRPr="009B6078" w:rsidRDefault="00190C35" w:rsidP="00801F64">
            <w:pPr>
              <w:contextualSpacing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190C35" w:rsidTr="00801F64">
        <w:tc>
          <w:tcPr>
            <w:tcW w:w="426" w:type="dxa"/>
            <w:vMerge/>
          </w:tcPr>
          <w:p w:rsidR="00190C35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709" w:type="dxa"/>
            <w:vMerge/>
          </w:tcPr>
          <w:p w:rsidR="00190C35" w:rsidRPr="00190C35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color w:val="FF0000"/>
                <w:szCs w:val="28"/>
              </w:rPr>
            </w:pPr>
          </w:p>
        </w:tc>
        <w:tc>
          <w:tcPr>
            <w:tcW w:w="895" w:type="dxa"/>
            <w:vMerge w:val="restart"/>
            <w:textDirection w:val="btLr"/>
          </w:tcPr>
          <w:p w:rsidR="00190C35" w:rsidRPr="009B6078" w:rsidRDefault="00190C35" w:rsidP="009B6078">
            <w:pPr>
              <w:ind w:left="-74"/>
              <w:contextualSpacing/>
              <w:jc w:val="center"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325" w:type="dxa"/>
            <w:gridSpan w:val="3"/>
          </w:tcPr>
          <w:p w:rsidR="00190C35" w:rsidRDefault="00190C35" w:rsidP="009B6078">
            <w:pPr>
              <w:spacing w:line="276" w:lineRule="auto"/>
              <w:contextualSpacing/>
              <w:jc w:val="both"/>
              <w:rPr>
                <w:iCs/>
                <w:szCs w:val="28"/>
              </w:rPr>
            </w:pPr>
            <w:r w:rsidRPr="00B51FF2">
              <w:rPr>
                <w:color w:val="000000"/>
                <w:sz w:val="18"/>
                <w:szCs w:val="18"/>
              </w:rPr>
              <w:t>Показатели (П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51FF2">
              <w:rPr>
                <w:color w:val="000000"/>
                <w:sz w:val="18"/>
                <w:szCs w:val="18"/>
              </w:rPr>
              <w:t>, П2, П3)</w:t>
            </w:r>
          </w:p>
        </w:tc>
        <w:tc>
          <w:tcPr>
            <w:tcW w:w="708" w:type="dxa"/>
            <w:vMerge w:val="restart"/>
            <w:textDirection w:val="btLr"/>
          </w:tcPr>
          <w:p w:rsidR="00190C35" w:rsidRPr="009B6078" w:rsidRDefault="00190C35" w:rsidP="009B6078">
            <w:pPr>
              <w:contextualSpacing/>
              <w:jc w:val="center"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133" w:type="dxa"/>
            <w:gridSpan w:val="3"/>
          </w:tcPr>
          <w:p w:rsidR="00190C35" w:rsidRDefault="00190C35" w:rsidP="009B6078">
            <w:pPr>
              <w:spacing w:line="276" w:lineRule="auto"/>
              <w:ind w:right="-110"/>
              <w:contextualSpacing/>
              <w:jc w:val="both"/>
              <w:rPr>
                <w:iCs/>
                <w:szCs w:val="28"/>
              </w:rPr>
            </w:pPr>
            <w:r w:rsidRPr="00B51FF2">
              <w:rPr>
                <w:color w:val="000000"/>
                <w:sz w:val="18"/>
                <w:szCs w:val="18"/>
              </w:rPr>
              <w:t>Показатели (П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51FF2">
              <w:rPr>
                <w:color w:val="000000"/>
                <w:sz w:val="18"/>
                <w:szCs w:val="18"/>
              </w:rPr>
              <w:t>, П2, П3)</w:t>
            </w:r>
          </w:p>
        </w:tc>
        <w:tc>
          <w:tcPr>
            <w:tcW w:w="709" w:type="dxa"/>
            <w:vMerge w:val="restart"/>
            <w:textDirection w:val="btLr"/>
          </w:tcPr>
          <w:p w:rsidR="00190C35" w:rsidRPr="009B6078" w:rsidRDefault="00190C35" w:rsidP="009B6078">
            <w:pPr>
              <w:contextualSpacing/>
              <w:jc w:val="center"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269" w:type="dxa"/>
            <w:gridSpan w:val="3"/>
          </w:tcPr>
          <w:p w:rsidR="00190C35" w:rsidRDefault="00190C35" w:rsidP="009B6078">
            <w:pPr>
              <w:spacing w:line="276" w:lineRule="auto"/>
              <w:ind w:right="33"/>
              <w:contextualSpacing/>
              <w:jc w:val="both"/>
              <w:rPr>
                <w:iCs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Показатели (П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</w:t>
            </w:r>
            <w:r w:rsidRPr="00B51FF2">
              <w:rPr>
                <w:color w:val="000000"/>
                <w:sz w:val="18"/>
                <w:szCs w:val="18"/>
              </w:rPr>
              <w:t>П2, П3)</w:t>
            </w:r>
          </w:p>
        </w:tc>
        <w:tc>
          <w:tcPr>
            <w:tcW w:w="708" w:type="dxa"/>
            <w:vMerge w:val="restart"/>
            <w:textDirection w:val="btLr"/>
          </w:tcPr>
          <w:p w:rsidR="00190C35" w:rsidRPr="009B6078" w:rsidRDefault="00190C35" w:rsidP="009B6078">
            <w:pPr>
              <w:contextualSpacing/>
              <w:jc w:val="center"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2018" w:type="dxa"/>
            <w:gridSpan w:val="3"/>
          </w:tcPr>
          <w:p w:rsidR="00190C35" w:rsidRDefault="00190C35" w:rsidP="009B6078">
            <w:pPr>
              <w:spacing w:line="276" w:lineRule="auto"/>
              <w:ind w:right="31"/>
              <w:contextualSpacing/>
              <w:jc w:val="both"/>
              <w:rPr>
                <w:iCs/>
                <w:szCs w:val="28"/>
              </w:rPr>
            </w:pPr>
            <w:r w:rsidRPr="00B51FF2">
              <w:rPr>
                <w:color w:val="000000"/>
                <w:sz w:val="18"/>
                <w:szCs w:val="18"/>
              </w:rPr>
              <w:t>Показатели (П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51FF2">
              <w:rPr>
                <w:color w:val="000000"/>
                <w:sz w:val="18"/>
                <w:szCs w:val="18"/>
              </w:rPr>
              <w:t>,П2, П3)</w:t>
            </w:r>
          </w:p>
        </w:tc>
        <w:tc>
          <w:tcPr>
            <w:tcW w:w="709" w:type="dxa"/>
            <w:vMerge w:val="restart"/>
            <w:textDirection w:val="btLr"/>
          </w:tcPr>
          <w:p w:rsidR="00190C35" w:rsidRPr="009B6078" w:rsidRDefault="00190C35" w:rsidP="009B6078">
            <w:pPr>
              <w:ind w:left="-108"/>
              <w:contextualSpacing/>
              <w:jc w:val="center"/>
              <w:rPr>
                <w:iCs/>
                <w:sz w:val="16"/>
                <w:szCs w:val="16"/>
              </w:rPr>
            </w:pPr>
            <w:r w:rsidRPr="009B6078">
              <w:rPr>
                <w:color w:val="000000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985" w:type="dxa"/>
            <w:gridSpan w:val="3"/>
          </w:tcPr>
          <w:p w:rsidR="00190C35" w:rsidRPr="00B51FF2" w:rsidRDefault="00190C35" w:rsidP="00B51FF2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Показатели (П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51FF2">
              <w:rPr>
                <w:color w:val="000000"/>
                <w:sz w:val="18"/>
                <w:szCs w:val="18"/>
              </w:rPr>
              <w:t>, П2, П3)</w:t>
            </w:r>
          </w:p>
        </w:tc>
      </w:tr>
      <w:tr w:rsidR="00190C35" w:rsidRPr="00B51FF2" w:rsidTr="00801F64">
        <w:trPr>
          <w:trHeight w:val="2431"/>
        </w:trPr>
        <w:tc>
          <w:tcPr>
            <w:tcW w:w="426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0C35" w:rsidRPr="00190C35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8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76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08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0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4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09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56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7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08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1" w:type="dxa"/>
            <w:vAlign w:val="center"/>
          </w:tcPr>
          <w:p w:rsidR="00190C35" w:rsidRPr="00B51FF2" w:rsidRDefault="00190C35" w:rsidP="009B60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709" w:type="dxa"/>
            <w:vMerge/>
          </w:tcPr>
          <w:p w:rsidR="00190C35" w:rsidRPr="00B51FF2" w:rsidRDefault="00190C35" w:rsidP="00E83AA7">
            <w:pPr>
              <w:spacing w:line="276" w:lineRule="auto"/>
              <w:ind w:right="282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90C35" w:rsidRPr="00B51FF2" w:rsidRDefault="00190C35" w:rsidP="00B51FF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190C35" w:rsidRPr="00B51FF2" w:rsidRDefault="00190C35" w:rsidP="00B51FF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190C35" w:rsidRPr="00B51FF2" w:rsidRDefault="00190C35" w:rsidP="00B51FF2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</w:tr>
      <w:tr w:rsidR="00190C35" w:rsidRPr="00C034CC" w:rsidTr="00801F64">
        <w:trPr>
          <w:trHeight w:val="465"/>
        </w:trPr>
        <w:tc>
          <w:tcPr>
            <w:tcW w:w="426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90C35" w:rsidRPr="00190C35" w:rsidRDefault="00190C35" w:rsidP="00190C35">
            <w:pPr>
              <w:spacing w:line="216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190C35">
              <w:rPr>
                <w:b/>
                <w:color w:val="FF0000"/>
                <w:sz w:val="18"/>
                <w:szCs w:val="18"/>
              </w:rPr>
              <w:t>99,67</w:t>
            </w:r>
          </w:p>
        </w:tc>
        <w:tc>
          <w:tcPr>
            <w:tcW w:w="895" w:type="dxa"/>
            <w:vAlign w:val="center"/>
          </w:tcPr>
          <w:p w:rsidR="00190C35" w:rsidRPr="00F8344D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8344D">
              <w:rPr>
                <w:b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771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78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76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08" w:type="dxa"/>
            <w:vAlign w:val="center"/>
          </w:tcPr>
          <w:p w:rsidR="00190C35" w:rsidRPr="00F8344D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8344D">
              <w:rPr>
                <w:b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709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0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14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09" w:type="dxa"/>
            <w:vAlign w:val="center"/>
          </w:tcPr>
          <w:p w:rsidR="00190C35" w:rsidRPr="00F8344D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8344D">
              <w:rPr>
                <w:b/>
                <w:color w:val="000000"/>
                <w:sz w:val="18"/>
                <w:szCs w:val="18"/>
              </w:rPr>
              <w:t>99,13</w:t>
            </w:r>
          </w:p>
        </w:tc>
        <w:tc>
          <w:tcPr>
            <w:tcW w:w="756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56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57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708" w:type="dxa"/>
            <w:vAlign w:val="center"/>
          </w:tcPr>
          <w:p w:rsidR="00190C35" w:rsidRPr="00F8344D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8344D">
              <w:rPr>
                <w:b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709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08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601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709" w:type="dxa"/>
            <w:vAlign w:val="center"/>
          </w:tcPr>
          <w:p w:rsidR="00190C35" w:rsidRPr="00F8344D" w:rsidRDefault="00190C35" w:rsidP="00190C3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8344D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67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190C35" w:rsidRPr="00C034CC" w:rsidRDefault="00190C35" w:rsidP="00190C35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034CC">
              <w:rPr>
                <w:color w:val="000000"/>
                <w:sz w:val="18"/>
                <w:szCs w:val="18"/>
              </w:rPr>
              <w:t>50,0</w:t>
            </w:r>
          </w:p>
        </w:tc>
      </w:tr>
    </w:tbl>
    <w:p w:rsidR="00E83AA7" w:rsidRPr="00F8344D" w:rsidRDefault="00E83AA7" w:rsidP="00F8344D">
      <w:pPr>
        <w:ind w:right="282" w:firstLine="709"/>
        <w:jc w:val="both"/>
        <w:rPr>
          <w:sz w:val="26"/>
          <w:szCs w:val="26"/>
        </w:rPr>
      </w:pPr>
      <w:r w:rsidRPr="00F8344D">
        <w:rPr>
          <w:sz w:val="26"/>
          <w:szCs w:val="26"/>
        </w:rPr>
        <w:t xml:space="preserve">Показатель оценки качества </w:t>
      </w:r>
      <w:r w:rsidR="00F8344D" w:rsidRPr="00F8344D">
        <w:rPr>
          <w:sz w:val="26"/>
          <w:szCs w:val="26"/>
        </w:rPr>
        <w:t xml:space="preserve">БУ «Сургутский центр социальной помощи семье и детям» </w:t>
      </w:r>
      <w:r w:rsidRPr="00F8344D">
        <w:rPr>
          <w:sz w:val="26"/>
          <w:szCs w:val="26"/>
        </w:rPr>
        <w:t xml:space="preserve">составляет </w:t>
      </w:r>
      <w:r w:rsidR="00F8344D" w:rsidRPr="00F8344D">
        <w:rPr>
          <w:color w:val="000000"/>
          <w:sz w:val="26"/>
          <w:szCs w:val="26"/>
        </w:rPr>
        <w:t>99,67</w:t>
      </w:r>
      <w:r w:rsidRPr="00F8344D">
        <w:rPr>
          <w:color w:val="000000"/>
          <w:sz w:val="26"/>
          <w:szCs w:val="26"/>
        </w:rPr>
        <w:t xml:space="preserve"> </w:t>
      </w:r>
      <w:r w:rsidR="00F8344D" w:rsidRPr="00F8344D">
        <w:rPr>
          <w:sz w:val="26"/>
          <w:szCs w:val="26"/>
        </w:rPr>
        <w:t xml:space="preserve">баллов. Средние значения показателей </w:t>
      </w:r>
      <w:r w:rsidRPr="00F8344D">
        <w:rPr>
          <w:sz w:val="26"/>
          <w:szCs w:val="26"/>
        </w:rPr>
        <w:t>по каждому общему критерию независимой оценки составля</w:t>
      </w:r>
      <w:r w:rsidR="00F8344D" w:rsidRPr="00F8344D">
        <w:rPr>
          <w:sz w:val="26"/>
          <w:szCs w:val="26"/>
        </w:rPr>
        <w:t>ю</w:t>
      </w:r>
      <w:r w:rsidRPr="00F8344D">
        <w:rPr>
          <w:sz w:val="26"/>
          <w:szCs w:val="26"/>
        </w:rPr>
        <w:t>т:</w:t>
      </w:r>
    </w:p>
    <w:p w:rsidR="00E83AA7" w:rsidRPr="00F8344D" w:rsidRDefault="00E83AA7" w:rsidP="00F8344D">
      <w:pPr>
        <w:pStyle w:val="Default"/>
        <w:spacing w:line="240" w:lineRule="auto"/>
        <w:ind w:right="282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«Открытость и доступность информации об организации»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99,90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балла (из 100 возможных);</w:t>
      </w:r>
    </w:p>
    <w:p w:rsidR="00E83AA7" w:rsidRPr="00F8344D" w:rsidRDefault="00E83AA7" w:rsidP="00F8344D">
      <w:pPr>
        <w:pStyle w:val="Default"/>
        <w:spacing w:line="240" w:lineRule="auto"/>
        <w:ind w:right="282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«Комфортность условий предоставления услуг, в том числе время ожидания предоставления услуг»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99,60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балла;</w:t>
      </w:r>
    </w:p>
    <w:p w:rsidR="00E83AA7" w:rsidRPr="00F8344D" w:rsidRDefault="00E83AA7" w:rsidP="00F8344D">
      <w:pPr>
        <w:pStyle w:val="Default"/>
        <w:spacing w:line="240" w:lineRule="auto"/>
        <w:ind w:right="282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«Доступность услуг для инвалидов»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99,13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балла;</w:t>
      </w:r>
    </w:p>
    <w:p w:rsidR="00E83AA7" w:rsidRPr="00F8344D" w:rsidRDefault="00E83AA7" w:rsidP="00F8344D">
      <w:pPr>
        <w:pStyle w:val="Default"/>
        <w:spacing w:line="240" w:lineRule="auto"/>
        <w:ind w:right="282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«Доброжелательность, вежливость работников организаций социального обслуживания»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99,70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балла;</w:t>
      </w:r>
    </w:p>
    <w:p w:rsidR="00E83AA7" w:rsidRPr="00F8344D" w:rsidRDefault="00E83AA7" w:rsidP="00E83AA7">
      <w:pPr>
        <w:pStyle w:val="Default"/>
        <w:spacing w:line="276" w:lineRule="auto"/>
        <w:ind w:right="282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«Удовлетворенность условиями оказания услуг» - </w:t>
      </w:r>
      <w:r w:rsidR="00F8344D" w:rsidRPr="00F8344D">
        <w:rPr>
          <w:rFonts w:ascii="Times New Roman" w:hAnsi="Times New Roman" w:cs="Times New Roman"/>
          <w:color w:val="auto"/>
          <w:sz w:val="26"/>
          <w:szCs w:val="26"/>
        </w:rPr>
        <w:t>100,00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балла.</w:t>
      </w:r>
    </w:p>
    <w:p w:rsidR="007D17D4" w:rsidRDefault="007D17D4" w:rsidP="004D3E38">
      <w:pPr>
        <w:ind w:left="-567" w:firstLine="567"/>
        <w:outlineLvl w:val="0"/>
        <w:rPr>
          <w:sz w:val="20"/>
          <w:szCs w:val="20"/>
        </w:rPr>
      </w:pPr>
    </w:p>
    <w:p w:rsidR="00F8344D" w:rsidRPr="003945D1" w:rsidRDefault="00F8344D" w:rsidP="00D171D8">
      <w:pPr>
        <w:rPr>
          <w:i/>
          <w:sz w:val="18"/>
          <w:szCs w:val="18"/>
        </w:rPr>
      </w:pPr>
      <w:r w:rsidRPr="003945D1">
        <w:rPr>
          <w:i/>
          <w:sz w:val="18"/>
          <w:szCs w:val="18"/>
        </w:rPr>
        <w:t xml:space="preserve">Информация </w:t>
      </w:r>
      <w:r w:rsidR="00FC26B5" w:rsidRPr="003945D1">
        <w:rPr>
          <w:i/>
          <w:sz w:val="18"/>
          <w:szCs w:val="18"/>
        </w:rPr>
        <w:t xml:space="preserve"> подготов</w:t>
      </w:r>
      <w:r w:rsidRPr="003945D1">
        <w:rPr>
          <w:i/>
          <w:sz w:val="18"/>
          <w:szCs w:val="18"/>
        </w:rPr>
        <w:t xml:space="preserve">лена на основании аналитического  отчета по итогам оказания услуг по сбору и обобщению информации в рамках </w:t>
      </w:r>
      <w:proofErr w:type="gramStart"/>
      <w:r w:rsidRPr="003945D1">
        <w:rPr>
          <w:i/>
          <w:sz w:val="18"/>
          <w:szCs w:val="18"/>
        </w:rPr>
        <w:t>проведения независимой оценки качества условий оказания социальных услуг</w:t>
      </w:r>
      <w:proofErr w:type="gramEnd"/>
      <w:r w:rsidRPr="003945D1">
        <w:rPr>
          <w:i/>
          <w:sz w:val="18"/>
          <w:szCs w:val="18"/>
        </w:rPr>
        <w:t xml:space="preserve"> организациями социального обслуживания Ханты-Мансийского автономного округа – Югры в 2019 году </w:t>
      </w:r>
      <w:r w:rsidR="003945D1">
        <w:rPr>
          <w:i/>
          <w:sz w:val="18"/>
          <w:szCs w:val="18"/>
        </w:rPr>
        <w:t xml:space="preserve"> </w:t>
      </w:r>
      <w:r w:rsidRPr="003945D1">
        <w:rPr>
          <w:i/>
          <w:sz w:val="18"/>
          <w:szCs w:val="18"/>
        </w:rPr>
        <w:t>(</w:t>
      </w:r>
      <w:r w:rsidR="00190C35" w:rsidRPr="003945D1">
        <w:rPr>
          <w:i/>
          <w:sz w:val="18"/>
          <w:szCs w:val="18"/>
        </w:rPr>
        <w:t>ООО «ГЭПИЦентр-2» от 11.09.2019)</w:t>
      </w:r>
    </w:p>
    <w:sectPr w:rsidR="00F8344D" w:rsidRPr="003945D1" w:rsidSect="00D171D8">
      <w:pgSz w:w="16838" w:h="11906" w:orient="landscape"/>
      <w:pgMar w:top="1134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2840"/>
    <w:rsid w:val="00011060"/>
    <w:rsid w:val="00056C53"/>
    <w:rsid w:val="00157DC6"/>
    <w:rsid w:val="00190C35"/>
    <w:rsid w:val="001A48E9"/>
    <w:rsid w:val="0035596C"/>
    <w:rsid w:val="00357C80"/>
    <w:rsid w:val="003945D1"/>
    <w:rsid w:val="003D25BD"/>
    <w:rsid w:val="004003BB"/>
    <w:rsid w:val="004934CF"/>
    <w:rsid w:val="004D3E38"/>
    <w:rsid w:val="004D3E92"/>
    <w:rsid w:val="005433F2"/>
    <w:rsid w:val="00551C49"/>
    <w:rsid w:val="005E233D"/>
    <w:rsid w:val="005E7A78"/>
    <w:rsid w:val="00632CB0"/>
    <w:rsid w:val="0067332A"/>
    <w:rsid w:val="006A564E"/>
    <w:rsid w:val="006D5EA1"/>
    <w:rsid w:val="00781244"/>
    <w:rsid w:val="007D17D4"/>
    <w:rsid w:val="007E3FB8"/>
    <w:rsid w:val="00801F64"/>
    <w:rsid w:val="0082727B"/>
    <w:rsid w:val="00850FB9"/>
    <w:rsid w:val="00871907"/>
    <w:rsid w:val="008D1D38"/>
    <w:rsid w:val="00927AFF"/>
    <w:rsid w:val="0093606B"/>
    <w:rsid w:val="00955B92"/>
    <w:rsid w:val="00964048"/>
    <w:rsid w:val="00970ED1"/>
    <w:rsid w:val="009B6078"/>
    <w:rsid w:val="009F378D"/>
    <w:rsid w:val="00AD4AF3"/>
    <w:rsid w:val="00B4447E"/>
    <w:rsid w:val="00B51FF2"/>
    <w:rsid w:val="00B96027"/>
    <w:rsid w:val="00BB6A13"/>
    <w:rsid w:val="00C034CC"/>
    <w:rsid w:val="00C44751"/>
    <w:rsid w:val="00C52A9A"/>
    <w:rsid w:val="00C63817"/>
    <w:rsid w:val="00C956A1"/>
    <w:rsid w:val="00D171D8"/>
    <w:rsid w:val="00DB6895"/>
    <w:rsid w:val="00DE072B"/>
    <w:rsid w:val="00E60F4C"/>
    <w:rsid w:val="00E83AA7"/>
    <w:rsid w:val="00EA578F"/>
    <w:rsid w:val="00EC5D8B"/>
    <w:rsid w:val="00F01284"/>
    <w:rsid w:val="00F03788"/>
    <w:rsid w:val="00F8344D"/>
    <w:rsid w:val="00FA1BFB"/>
    <w:rsid w:val="00FA6ABB"/>
    <w:rsid w:val="00FC26B5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A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59"/>
    <w:rsid w:val="00E8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11</cp:revision>
  <cp:lastPrinted>2016-12-27T11:47:00Z</cp:lastPrinted>
  <dcterms:created xsi:type="dcterms:W3CDTF">2015-03-17T13:02:00Z</dcterms:created>
  <dcterms:modified xsi:type="dcterms:W3CDTF">2019-12-09T11:50:00Z</dcterms:modified>
</cp:coreProperties>
</file>