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3C258E">
        <w:rPr>
          <w:b/>
        </w:rPr>
        <w:t>9 месяцев</w:t>
      </w:r>
      <w:r w:rsidR="00FE53F7">
        <w:rPr>
          <w:b/>
        </w:rPr>
        <w:t xml:space="preserve"> </w:t>
      </w:r>
      <w:r w:rsidR="00FB2576">
        <w:rPr>
          <w:b/>
        </w:rPr>
        <w:t>202</w:t>
      </w:r>
      <w:r w:rsidR="00C606DB">
        <w:rPr>
          <w:b/>
        </w:rPr>
        <w:t>2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3C258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3 403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3C258E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 xml:space="preserve"> 2 520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3943A5" w:rsidRDefault="003C258E" w:rsidP="005C6127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23 679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C258E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3 879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C258E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5 836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C258E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6 782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C258E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888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C258E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52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3943A5" w:rsidRDefault="003C258E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1 418</w:t>
            </w:r>
            <w:bookmarkStart w:id="0" w:name="_GoBack"/>
            <w:bookmarkEnd w:id="0"/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3C258E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42 534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C606DB">
        <w:rPr>
          <w:szCs w:val="28"/>
        </w:rPr>
        <w:t>Н.А. Царёва</w:t>
      </w: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3C258E"/>
    <w:rsid w:val="00482ECF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606DB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237A"/>
    <w:rsid w:val="00F47775"/>
    <w:rsid w:val="00F734BD"/>
    <w:rsid w:val="00FB2576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77</cp:revision>
  <cp:lastPrinted>2022-10-05T12:15:00Z</cp:lastPrinted>
  <dcterms:created xsi:type="dcterms:W3CDTF">2016-07-07T07:09:00Z</dcterms:created>
  <dcterms:modified xsi:type="dcterms:W3CDTF">2022-10-05T12:15:00Z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